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p>
    <w:p>
      <w:pPr>
        <w:jc w:val="center"/>
        <w:rPr>
          <w:b/>
        </w:rPr>
      </w:pPr>
      <w:r>
        <w:rPr>
          <w:rFonts w:hint="eastAsia"/>
          <w:b/>
        </w:rPr>
        <w:t>浙江大学电气工程学院2020年博士研究生“申请-考核”招生选拔机制实施细则</w:t>
      </w:r>
    </w:p>
    <w:p>
      <w:pPr>
        <w:numPr>
          <w:ilvl w:val="0"/>
          <w:numId w:val="1"/>
        </w:numPr>
      </w:pPr>
      <w:r>
        <w:rPr>
          <w:rFonts w:hint="eastAsia"/>
          <w:b/>
        </w:rPr>
        <w:t>组织机构</w:t>
      </w:r>
    </w:p>
    <w:p>
      <w:pPr>
        <w:tabs>
          <w:tab w:val="left" w:pos="1620"/>
        </w:tabs>
        <w:adjustRightInd w:val="0"/>
        <w:snapToGrid w:val="0"/>
        <w:ind w:firstLine="420" w:firstLineChars="200"/>
        <w:rPr>
          <w:rFonts w:ascii="Times New Roman" w:hAnsi="Times New Roman"/>
          <w:kern w:val="0"/>
          <w:szCs w:val="21"/>
        </w:rPr>
      </w:pPr>
      <w:r>
        <w:rPr>
          <w:rFonts w:hint="eastAsia" w:ascii="Times New Roman" w:hAnsi="Times New Roman"/>
          <w:kern w:val="0"/>
          <w:szCs w:val="21"/>
        </w:rPr>
        <w:t>电气工程学院博士生招生工作领导小组：</w:t>
      </w:r>
    </w:p>
    <w:p>
      <w:pPr>
        <w:tabs>
          <w:tab w:val="left" w:pos="1620"/>
        </w:tabs>
        <w:adjustRightInd w:val="0"/>
        <w:snapToGrid w:val="0"/>
        <w:ind w:firstLine="420" w:firstLineChars="200"/>
        <w:rPr>
          <w:rFonts w:ascii="Times New Roman" w:hAnsi="Times New Roman"/>
          <w:kern w:val="0"/>
          <w:szCs w:val="21"/>
        </w:rPr>
      </w:pPr>
      <w:r>
        <w:rPr>
          <w:rFonts w:hint="eastAsia" w:ascii="Times New Roman" w:hAnsi="Times New Roman"/>
          <w:kern w:val="0"/>
          <w:szCs w:val="21"/>
        </w:rPr>
        <w:t>组长：盛况 汤海旸</w:t>
      </w:r>
    </w:p>
    <w:p>
      <w:pPr>
        <w:tabs>
          <w:tab w:val="left" w:pos="1620"/>
        </w:tabs>
        <w:adjustRightInd w:val="0"/>
        <w:snapToGrid w:val="0"/>
        <w:ind w:firstLine="420" w:firstLineChars="200"/>
        <w:rPr>
          <w:rFonts w:ascii="Times New Roman" w:hAnsi="Times New Roman"/>
          <w:kern w:val="0"/>
          <w:szCs w:val="21"/>
        </w:rPr>
      </w:pPr>
      <w:r>
        <w:rPr>
          <w:rFonts w:hint="eastAsia" w:ascii="Times New Roman" w:hAnsi="Times New Roman"/>
          <w:kern w:val="0"/>
          <w:szCs w:val="21"/>
        </w:rPr>
        <w:t>副组长：沈建新  徐超炯  郭创新</w:t>
      </w:r>
    </w:p>
    <w:p>
      <w:pPr>
        <w:tabs>
          <w:tab w:val="left" w:pos="1620"/>
        </w:tabs>
        <w:adjustRightInd w:val="0"/>
        <w:snapToGrid w:val="0"/>
        <w:ind w:firstLine="420" w:firstLineChars="200"/>
        <w:rPr>
          <w:rFonts w:ascii="Times New Roman" w:hAnsi="Times New Roman"/>
          <w:kern w:val="0"/>
          <w:szCs w:val="21"/>
        </w:rPr>
      </w:pPr>
      <w:r>
        <w:rPr>
          <w:rFonts w:hint="eastAsia" w:ascii="Times New Roman" w:hAnsi="Times New Roman"/>
          <w:kern w:val="0"/>
          <w:szCs w:val="21"/>
        </w:rPr>
        <w:t>成员：黄晓艳  杨欢 阎</w:t>
      </w:r>
      <w:r>
        <w:rPr>
          <w:rFonts w:hint="eastAsia" w:ascii="Times New Roman" w:hAnsi="Times New Roman"/>
          <w:kern w:val="0"/>
          <w:szCs w:val="21"/>
          <w:lang w:eastAsia="zh-CN"/>
        </w:rPr>
        <w:t>彦</w:t>
      </w:r>
      <w:bookmarkStart w:id="0" w:name="_GoBack"/>
      <w:bookmarkEnd w:id="0"/>
      <w:r>
        <w:rPr>
          <w:rFonts w:hint="eastAsia" w:ascii="Times New Roman" w:hAnsi="Times New Roman"/>
          <w:kern w:val="0"/>
          <w:szCs w:val="21"/>
        </w:rPr>
        <w:t xml:space="preserve"> 辛焕海  江道灼  丁一  张军明  杜丽  陈敏  林平  </w:t>
      </w:r>
    </w:p>
    <w:p>
      <w:pPr>
        <w:tabs>
          <w:tab w:val="left" w:pos="1620"/>
        </w:tabs>
        <w:adjustRightInd w:val="0"/>
        <w:snapToGrid w:val="0"/>
        <w:ind w:firstLine="420" w:firstLineChars="200"/>
        <w:rPr>
          <w:rFonts w:ascii="Times New Roman" w:hAnsi="Times New Roman"/>
          <w:kern w:val="0"/>
          <w:szCs w:val="21"/>
        </w:rPr>
      </w:pPr>
      <w:r>
        <w:rPr>
          <w:rFonts w:hint="eastAsia" w:ascii="Times New Roman" w:hAnsi="Times New Roman"/>
          <w:kern w:val="0"/>
          <w:szCs w:val="21"/>
        </w:rPr>
        <w:t>潘丽萍  孙晖  徐文渊  彭勇刚  于淼 李晨 王瑞  金若君</w:t>
      </w:r>
    </w:p>
    <w:p>
      <w:pPr>
        <w:tabs>
          <w:tab w:val="left" w:pos="1620"/>
        </w:tabs>
        <w:adjustRightInd w:val="0"/>
        <w:snapToGrid w:val="0"/>
        <w:ind w:firstLine="420" w:firstLineChars="200"/>
        <w:rPr>
          <w:rFonts w:ascii="Times New Roman" w:hAnsi="Times New Roman"/>
          <w:kern w:val="0"/>
          <w:szCs w:val="21"/>
        </w:rPr>
      </w:pPr>
      <w:r>
        <w:rPr>
          <w:rFonts w:hint="eastAsia" w:ascii="Times New Roman" w:hAnsi="Times New Roman"/>
          <w:kern w:val="0"/>
          <w:szCs w:val="21"/>
        </w:rPr>
        <w:t>（申诉联系人：金若君，郭创新，电子邮箱：eegrs@zju.edu.cn，guochuangxin@zju.edu.cn，申诉电话：0571-87951691）</w:t>
      </w:r>
    </w:p>
    <w:p>
      <w:pPr>
        <w:tabs>
          <w:tab w:val="left" w:pos="1620"/>
        </w:tabs>
        <w:adjustRightInd w:val="0"/>
        <w:snapToGrid w:val="0"/>
        <w:ind w:firstLine="420" w:firstLineChars="200"/>
        <w:rPr>
          <w:rFonts w:ascii="Times New Roman" w:hAnsi="Times New Roman"/>
          <w:color w:val="auto"/>
          <w:kern w:val="0"/>
          <w:szCs w:val="21"/>
        </w:rPr>
      </w:pPr>
      <w:r>
        <w:rPr>
          <w:rFonts w:hint="eastAsia" w:ascii="Times New Roman" w:hAnsi="Times New Roman"/>
          <w:color w:val="auto"/>
          <w:kern w:val="0"/>
          <w:szCs w:val="21"/>
        </w:rPr>
        <w:t>学院按一级学科成立“博士生招生委员会”，由五名及以上具有博士研究生招生资格的导师组成，其中须有1名为研究生德育导师，并设主任1名。委员会实行集体负责制，其职责为：根据学科特点制定申请人材料初审办法、复试（含笔试、面试）考核办法；组织材料评审，确定进入复试考生名单；组织复试考核，根据复试考核办法提出拟录取考生名单</w:t>
      </w:r>
    </w:p>
    <w:p>
      <w:pPr>
        <w:tabs>
          <w:tab w:val="left" w:pos="1620"/>
        </w:tabs>
        <w:adjustRightInd w:val="0"/>
        <w:snapToGrid w:val="0"/>
        <w:ind w:firstLine="420" w:firstLineChars="200"/>
        <w:rPr>
          <w:rFonts w:ascii="Times New Roman" w:hAnsi="Times New Roman"/>
          <w:kern w:val="0"/>
          <w:szCs w:val="21"/>
        </w:rPr>
      </w:pPr>
      <w:r>
        <w:rPr>
          <w:rFonts w:hint="eastAsia" w:ascii="Times New Roman" w:hAnsi="Times New Roman"/>
          <w:kern w:val="0"/>
          <w:szCs w:val="21"/>
        </w:rPr>
        <w:t>学院招生工作领导小组根据初审情况，成立“复试考核小组”，考核小组考核考生的思想政治素养、科研综合素质、知识结构、创新意识、英语能力等，复试考核小组各成员按照申请人综合情况给予评分。</w:t>
      </w:r>
    </w:p>
    <w:p>
      <w:pPr>
        <w:numPr>
          <w:ilvl w:val="0"/>
          <w:numId w:val="1"/>
        </w:numPr>
        <w:rPr>
          <w:b/>
        </w:rPr>
      </w:pPr>
      <w:r>
        <w:rPr>
          <w:rFonts w:hint="eastAsia"/>
          <w:b/>
        </w:rPr>
        <w:t>材料审核办法和程序</w:t>
      </w:r>
    </w:p>
    <w:p>
      <w:pPr>
        <w:numPr>
          <w:ilvl w:val="0"/>
          <w:numId w:val="2"/>
        </w:numPr>
        <w:rPr>
          <w:bCs/>
        </w:rPr>
      </w:pPr>
      <w:r>
        <w:rPr>
          <w:rFonts w:hint="eastAsia"/>
          <w:bCs/>
        </w:rPr>
        <w:t>直博生（全日制学术博士）：材料审核小组当年9月根据接收校内外推免生通知中接收材料按各二级学科方向进行初审并确定初审通过名单。</w:t>
      </w:r>
    </w:p>
    <w:p>
      <w:pPr>
        <w:numPr>
          <w:ilvl w:val="0"/>
          <w:numId w:val="2"/>
        </w:numPr>
        <w:rPr>
          <w:bCs/>
        </w:rPr>
      </w:pPr>
      <w:r>
        <w:rPr>
          <w:rFonts w:hint="eastAsia"/>
          <w:bCs/>
        </w:rPr>
        <w:t>硕博连读生（</w:t>
      </w:r>
      <w:r>
        <w:rPr>
          <w:rFonts w:hint="eastAsia" w:ascii="Times New Roman" w:hAnsi="Times New Roman"/>
          <w:kern w:val="0"/>
          <w:szCs w:val="21"/>
        </w:rPr>
        <w:t>全日制学术博士、全日制工程博士</w:t>
      </w:r>
      <w:r>
        <w:rPr>
          <w:rFonts w:hint="eastAsia"/>
          <w:bCs/>
        </w:rPr>
        <w:t>）：材料审核小组根据在校硕士生提供的申请材料进行初审并确定复试名单</w:t>
      </w:r>
      <w:r>
        <w:rPr>
          <w:rFonts w:hint="eastAsia"/>
          <w:bCs/>
          <w:lang w:eastAsia="zh-CN"/>
        </w:rPr>
        <w:t>。</w:t>
      </w:r>
    </w:p>
    <w:p>
      <w:pPr>
        <w:rPr>
          <w:rFonts w:ascii="Times New Roman" w:hAnsi="Times New Roman"/>
          <w:kern w:val="0"/>
          <w:szCs w:val="21"/>
        </w:rPr>
      </w:pPr>
      <w:r>
        <w:rPr>
          <w:rFonts w:hint="eastAsia" w:ascii="Times New Roman" w:hAnsi="Times New Roman"/>
          <w:kern w:val="0"/>
          <w:szCs w:val="21"/>
        </w:rPr>
        <w:t>3、普博生（全日制学术博士、全日制工程博士）：</w:t>
      </w:r>
    </w:p>
    <w:p>
      <w:pPr>
        <w:rPr>
          <w:rFonts w:hint="eastAsia"/>
          <w:b w:val="0"/>
          <w:bCs/>
        </w:rPr>
      </w:pPr>
      <w:r>
        <w:rPr>
          <w:rFonts w:hint="eastAsia" w:ascii="Times New Roman" w:hAnsi="Times New Roman"/>
          <w:kern w:val="0"/>
          <w:szCs w:val="21"/>
        </w:rPr>
        <w:t>材料审核小组对考生材料按学院各二级学科方向进行初审：即对考生</w:t>
      </w:r>
      <w:r>
        <w:rPr>
          <w:rFonts w:hint="eastAsia"/>
        </w:rPr>
        <w:t>外语水平、学术水平、科研创新能力进行综合评价，</w:t>
      </w:r>
      <w:r>
        <w:rPr>
          <w:rFonts w:hint="eastAsia"/>
          <w:b w:val="0"/>
          <w:bCs/>
        </w:rPr>
        <w:t>并按二级学科方向根据初审综合成绩及实际生源质量情况确定初审通过人数。</w:t>
      </w:r>
    </w:p>
    <w:p>
      <w:pPr>
        <w:numPr>
          <w:ilvl w:val="0"/>
          <w:numId w:val="1"/>
        </w:numPr>
        <w:rPr>
          <w:b/>
        </w:rPr>
      </w:pPr>
      <w:r>
        <w:rPr>
          <w:rFonts w:hint="eastAsia"/>
          <w:b/>
        </w:rPr>
        <w:t>初试、复试考核办法</w:t>
      </w:r>
    </w:p>
    <w:p>
      <w:pPr>
        <w:numPr>
          <w:ilvl w:val="0"/>
          <w:numId w:val="3"/>
        </w:numPr>
        <w:rPr>
          <w:b/>
        </w:rPr>
      </w:pPr>
      <w:r>
        <w:rPr>
          <w:rFonts w:hint="eastAsia"/>
          <w:b/>
        </w:rPr>
        <w:t>直博生：按校内外免试生的考核办法考核并录取。</w:t>
      </w:r>
    </w:p>
    <w:p>
      <w:pPr>
        <w:numPr>
          <w:ilvl w:val="0"/>
          <w:numId w:val="3"/>
        </w:numPr>
        <w:rPr>
          <w:b/>
        </w:rPr>
      </w:pPr>
      <w:r>
        <w:rPr>
          <w:rFonts w:hint="eastAsia"/>
          <w:b/>
        </w:rPr>
        <w:t>硕博连读生：通过材料初审的申请者，按要求参加复试，复试形式为综合面试，满分</w:t>
      </w:r>
      <w:r>
        <w:rPr>
          <w:b/>
        </w:rPr>
        <w:t>100</w:t>
      </w:r>
      <w:r>
        <w:rPr>
          <w:rFonts w:hint="eastAsia"/>
          <w:b/>
        </w:rPr>
        <w:t>分。</w:t>
      </w:r>
    </w:p>
    <w:p>
      <w:pPr>
        <w:numPr>
          <w:ilvl w:val="0"/>
          <w:numId w:val="3"/>
        </w:numPr>
        <w:rPr>
          <w:b/>
        </w:rPr>
      </w:pPr>
      <w:r>
        <w:rPr>
          <w:rFonts w:hint="eastAsia"/>
          <w:b/>
        </w:rPr>
        <w:t>普博生</w:t>
      </w:r>
    </w:p>
    <w:p>
      <w:pPr>
        <w:ind w:firstLine="420" w:firstLineChars="200"/>
      </w:pPr>
      <w:r>
        <w:rPr>
          <w:rFonts w:hint="eastAsia"/>
        </w:rPr>
        <w:t>1）初试</w:t>
      </w:r>
    </w:p>
    <w:p>
      <w:pPr>
        <w:ind w:firstLine="420" w:firstLineChars="200"/>
      </w:pPr>
      <w:r>
        <w:rPr>
          <w:rFonts w:hint="eastAsia"/>
        </w:rPr>
        <w:t>学院不组织初试，未达到全日制普博申请条件者及初审不通过者，不能参加复试。初审通过进入复试环节的考生，初审成绩按合格计。</w:t>
      </w:r>
    </w:p>
    <w:p>
      <w:pPr>
        <w:numPr>
          <w:ilvl w:val="255"/>
          <w:numId w:val="0"/>
        </w:numPr>
        <w:ind w:firstLine="420" w:firstLineChars="200"/>
      </w:pPr>
      <w:r>
        <w:rPr>
          <w:rFonts w:hint="eastAsia"/>
        </w:rPr>
        <w:t>2）复试</w:t>
      </w:r>
    </w:p>
    <w:p>
      <w:pPr>
        <w:ind w:firstLine="420" w:firstLineChars="200"/>
        <w:jc w:val="left"/>
        <w:rPr>
          <w:rFonts w:ascii="宋体" w:hAnsi="宋体"/>
        </w:rPr>
      </w:pPr>
      <w:r>
        <w:rPr>
          <w:rFonts w:hint="eastAsia"/>
        </w:rPr>
        <w:t>复试环节由专业课笔试与综合面试组成。其中专业课笔试由学院统一组织命题和阅卷，专业课包括：</w:t>
      </w:r>
      <w:r>
        <w:rPr>
          <w:rFonts w:hint="eastAsia" w:ascii="宋体" w:hAnsi="宋体"/>
        </w:rPr>
        <w:t>电机瞬变过程、电力系统分析、现代电力电子电路、计算机实时控制技术、电磁场原理、半导体器件物理、高电压技术，考生在以上课程中任选一门，</w:t>
      </w:r>
      <w:r>
        <w:rPr>
          <w:rFonts w:hint="eastAsia"/>
        </w:rPr>
        <w:t>考核成绩按合格或不合格计；综合面试由学院成立复试考核小组进行面试答辩，面试成绩按百分制计。</w:t>
      </w:r>
    </w:p>
    <w:p>
      <w:pPr>
        <w:ind w:firstLine="420" w:firstLineChars="200"/>
      </w:pPr>
      <w:r>
        <w:rPr>
          <w:rFonts w:hint="eastAsia"/>
        </w:rPr>
        <w:t>复试考核小组由5名以上专家组成。每位申请者面试时间不少于30分钟。面试内容包括：思想政治素养、科研综合素质、知识结构、创新意识、英语能力等。专家组各成员按照申请人综合情况评分。</w:t>
      </w:r>
    </w:p>
    <w:p>
      <w:pPr>
        <w:rPr>
          <w:b/>
        </w:rPr>
      </w:pPr>
      <w:r>
        <w:rPr>
          <w:rFonts w:hint="eastAsia"/>
          <w:b/>
        </w:rPr>
        <w:t>四、录取办法</w:t>
      </w:r>
    </w:p>
    <w:p>
      <w:pPr>
        <w:adjustRightInd w:val="0"/>
        <w:snapToGrid w:val="0"/>
        <w:ind w:firstLine="420" w:firstLineChars="200"/>
      </w:pPr>
      <w:r>
        <w:rPr>
          <w:rFonts w:hint="eastAsia"/>
        </w:rPr>
        <w:t>各学科根据根据综合面试成绩结果及分配名额，遵照宁缺勿滥、择优录取原则确定拟录取名单。</w:t>
      </w:r>
    </w:p>
    <w:p>
      <w:pPr>
        <w:adjustRightInd w:val="0"/>
        <w:snapToGrid w:val="0"/>
        <w:ind w:firstLine="420" w:firstLineChars="200"/>
      </w:pPr>
      <w:r>
        <w:rPr>
          <w:rFonts w:hint="eastAsia"/>
        </w:rPr>
        <w:t>有以下情形之一的考生不予录取：</w:t>
      </w:r>
    </w:p>
    <w:p>
      <w:pPr>
        <w:adjustRightInd w:val="0"/>
        <w:snapToGrid w:val="0"/>
      </w:pPr>
      <w:r>
        <w:rPr>
          <w:rFonts w:hint="eastAsia"/>
        </w:rPr>
        <w:t>1、思想政治素质和品德考核不合格等不予录取；</w:t>
      </w:r>
    </w:p>
    <w:p>
      <w:pPr>
        <w:adjustRightInd w:val="0"/>
        <w:snapToGrid w:val="0"/>
      </w:pPr>
      <w:r>
        <w:rPr>
          <w:rFonts w:hint="eastAsia"/>
        </w:rPr>
        <w:t>2、专业课考核不合格不予录取；</w:t>
      </w:r>
    </w:p>
    <w:p>
      <w:pPr>
        <w:adjustRightInd w:val="0"/>
        <w:snapToGrid w:val="0"/>
      </w:pPr>
      <w:r>
        <w:rPr>
          <w:rFonts w:hint="eastAsia"/>
        </w:rPr>
        <w:t>3、综合面试成绩不合格不予录取；</w:t>
      </w:r>
    </w:p>
    <w:p>
      <w:pPr>
        <w:adjustRightInd w:val="0"/>
        <w:snapToGrid w:val="0"/>
      </w:pPr>
      <w:r>
        <w:rPr>
          <w:rFonts w:hint="eastAsia"/>
        </w:rPr>
        <w:t>4、体检不合格者不予录取。</w:t>
      </w:r>
    </w:p>
    <w:p>
      <w:pPr>
        <w:rPr>
          <w:b/>
        </w:rPr>
      </w:pPr>
      <w:r>
        <w:rPr>
          <w:rFonts w:hint="eastAsia"/>
          <w:b/>
        </w:rPr>
        <w:t>五、其他</w:t>
      </w:r>
    </w:p>
    <w:p>
      <w:pPr>
        <w:adjustRightInd w:val="0"/>
        <w:snapToGrid w:val="0"/>
        <w:rPr>
          <w:rFonts w:hint="eastAsia"/>
        </w:rPr>
      </w:pPr>
      <w:r>
        <w:rPr>
          <w:rFonts w:hint="eastAsia"/>
        </w:rPr>
        <w:t>1、申请人需如实提供申请材料,一经发现有造假行为，立即取消其申请或学习资格。</w:t>
      </w:r>
    </w:p>
    <w:p>
      <w:pPr>
        <w:adjustRightInd w:val="0"/>
        <w:snapToGrid w:val="0"/>
        <w:rPr>
          <w:rFonts w:hint="eastAsia"/>
        </w:rPr>
      </w:pPr>
      <w:r>
        <w:rPr>
          <w:rFonts w:hint="eastAsia"/>
        </w:rPr>
        <w:t>2、所有申请者的录取资格只在2020年有效，不保留入学资格。</w:t>
      </w:r>
    </w:p>
    <w:p>
      <w:pPr>
        <w:adjustRightInd w:val="0"/>
        <w:snapToGrid w:val="0"/>
        <w:rPr>
          <w:rFonts w:hint="eastAsia"/>
        </w:rPr>
      </w:pPr>
      <w:r>
        <w:rPr>
          <w:rFonts w:hint="eastAsia"/>
        </w:rPr>
        <w:t>3、本办法由浙江大学电气学院博士研究生招生领导小组负责解释，未尽事宜以学校规定为准。</w:t>
      </w:r>
    </w:p>
    <w:p>
      <w:pPr>
        <w:adjustRightInd w:val="0"/>
        <w:snapToGrid w:val="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F8BB3A"/>
    <w:multiLevelType w:val="singleLevel"/>
    <w:tmpl w:val="A8F8BB3A"/>
    <w:lvl w:ilvl="0" w:tentative="0">
      <w:start w:val="1"/>
      <w:numFmt w:val="chineseCounting"/>
      <w:suff w:val="nothing"/>
      <w:lvlText w:val="%1、"/>
      <w:lvlJc w:val="left"/>
      <w:rPr>
        <w:rFonts w:hint="eastAsia"/>
      </w:rPr>
    </w:lvl>
  </w:abstractNum>
  <w:abstractNum w:abstractNumId="1">
    <w:nsid w:val="053C1846"/>
    <w:multiLevelType w:val="singleLevel"/>
    <w:tmpl w:val="053C1846"/>
    <w:lvl w:ilvl="0" w:tentative="0">
      <w:start w:val="1"/>
      <w:numFmt w:val="decimal"/>
      <w:suff w:val="nothing"/>
      <w:lvlText w:val="%1、"/>
      <w:lvlJc w:val="left"/>
    </w:lvl>
  </w:abstractNum>
  <w:abstractNum w:abstractNumId="2">
    <w:nsid w:val="3B807401"/>
    <w:multiLevelType w:val="singleLevel"/>
    <w:tmpl w:val="3B80740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2D"/>
    <w:rsid w:val="00022014"/>
    <w:rsid w:val="0003042D"/>
    <w:rsid w:val="00032BEE"/>
    <w:rsid w:val="00044615"/>
    <w:rsid w:val="00067C0C"/>
    <w:rsid w:val="00081FF0"/>
    <w:rsid w:val="000A007E"/>
    <w:rsid w:val="000A7C64"/>
    <w:rsid w:val="000F5E29"/>
    <w:rsid w:val="00101B45"/>
    <w:rsid w:val="00124AF3"/>
    <w:rsid w:val="0016062C"/>
    <w:rsid w:val="00182B43"/>
    <w:rsid w:val="001B2B91"/>
    <w:rsid w:val="001F558E"/>
    <w:rsid w:val="00281E0F"/>
    <w:rsid w:val="00286901"/>
    <w:rsid w:val="00294465"/>
    <w:rsid w:val="002B6B82"/>
    <w:rsid w:val="002C34F4"/>
    <w:rsid w:val="0034280C"/>
    <w:rsid w:val="0034775A"/>
    <w:rsid w:val="00352CC5"/>
    <w:rsid w:val="00383B4A"/>
    <w:rsid w:val="00397A26"/>
    <w:rsid w:val="003B6A28"/>
    <w:rsid w:val="003D0580"/>
    <w:rsid w:val="00425D15"/>
    <w:rsid w:val="00432930"/>
    <w:rsid w:val="00475716"/>
    <w:rsid w:val="004B4266"/>
    <w:rsid w:val="004C0D7A"/>
    <w:rsid w:val="00581E12"/>
    <w:rsid w:val="00592521"/>
    <w:rsid w:val="005D72FB"/>
    <w:rsid w:val="005E5281"/>
    <w:rsid w:val="00627B9F"/>
    <w:rsid w:val="006857A0"/>
    <w:rsid w:val="00687E1B"/>
    <w:rsid w:val="00697151"/>
    <w:rsid w:val="006E318F"/>
    <w:rsid w:val="007260CD"/>
    <w:rsid w:val="00734D36"/>
    <w:rsid w:val="00736578"/>
    <w:rsid w:val="00743173"/>
    <w:rsid w:val="00747142"/>
    <w:rsid w:val="00784FCA"/>
    <w:rsid w:val="008038E6"/>
    <w:rsid w:val="008118F0"/>
    <w:rsid w:val="00823510"/>
    <w:rsid w:val="00863C4B"/>
    <w:rsid w:val="00883773"/>
    <w:rsid w:val="008F1A04"/>
    <w:rsid w:val="009069D8"/>
    <w:rsid w:val="009579D5"/>
    <w:rsid w:val="00975573"/>
    <w:rsid w:val="00997C5D"/>
    <w:rsid w:val="009D02D6"/>
    <w:rsid w:val="009D2A63"/>
    <w:rsid w:val="009E4A18"/>
    <w:rsid w:val="00A15C9E"/>
    <w:rsid w:val="00A279A1"/>
    <w:rsid w:val="00A614A5"/>
    <w:rsid w:val="00AA28FE"/>
    <w:rsid w:val="00AC0D0C"/>
    <w:rsid w:val="00AC2EAF"/>
    <w:rsid w:val="00AE55DF"/>
    <w:rsid w:val="00B3027E"/>
    <w:rsid w:val="00BA2114"/>
    <w:rsid w:val="00BA3502"/>
    <w:rsid w:val="00BC54D5"/>
    <w:rsid w:val="00BD4618"/>
    <w:rsid w:val="00BE727F"/>
    <w:rsid w:val="00C00E15"/>
    <w:rsid w:val="00C303D2"/>
    <w:rsid w:val="00CB1708"/>
    <w:rsid w:val="00CC2E68"/>
    <w:rsid w:val="00CE6F25"/>
    <w:rsid w:val="00CF5B28"/>
    <w:rsid w:val="00D022AA"/>
    <w:rsid w:val="00D37A7B"/>
    <w:rsid w:val="00DE4CE2"/>
    <w:rsid w:val="00E41F71"/>
    <w:rsid w:val="00E82418"/>
    <w:rsid w:val="00E85E40"/>
    <w:rsid w:val="00E90B2F"/>
    <w:rsid w:val="00EA2612"/>
    <w:rsid w:val="00EA6E05"/>
    <w:rsid w:val="00F0456D"/>
    <w:rsid w:val="00F21C12"/>
    <w:rsid w:val="00F60F9B"/>
    <w:rsid w:val="00FC2362"/>
    <w:rsid w:val="00FC42F9"/>
    <w:rsid w:val="03D413F0"/>
    <w:rsid w:val="052B04C9"/>
    <w:rsid w:val="09927884"/>
    <w:rsid w:val="09F15309"/>
    <w:rsid w:val="0C4405B7"/>
    <w:rsid w:val="0C497684"/>
    <w:rsid w:val="0D6905CE"/>
    <w:rsid w:val="0E0A4492"/>
    <w:rsid w:val="0F5E5A43"/>
    <w:rsid w:val="101B2A41"/>
    <w:rsid w:val="109D056C"/>
    <w:rsid w:val="11FB5F51"/>
    <w:rsid w:val="13417DA5"/>
    <w:rsid w:val="13F04F52"/>
    <w:rsid w:val="14A72211"/>
    <w:rsid w:val="15F235E5"/>
    <w:rsid w:val="16367962"/>
    <w:rsid w:val="164E4461"/>
    <w:rsid w:val="167C3001"/>
    <w:rsid w:val="16B11323"/>
    <w:rsid w:val="1708054C"/>
    <w:rsid w:val="191D57A7"/>
    <w:rsid w:val="1A51479D"/>
    <w:rsid w:val="1ACC44F8"/>
    <w:rsid w:val="1C6F4B37"/>
    <w:rsid w:val="21D93DA5"/>
    <w:rsid w:val="21DC35E3"/>
    <w:rsid w:val="229521B9"/>
    <w:rsid w:val="24B51BA9"/>
    <w:rsid w:val="28927FA8"/>
    <w:rsid w:val="29BB4E20"/>
    <w:rsid w:val="2ACE06CC"/>
    <w:rsid w:val="2D366900"/>
    <w:rsid w:val="2E702495"/>
    <w:rsid w:val="2F166639"/>
    <w:rsid w:val="32B1083D"/>
    <w:rsid w:val="34E038C2"/>
    <w:rsid w:val="361A049F"/>
    <w:rsid w:val="371145C5"/>
    <w:rsid w:val="38E02075"/>
    <w:rsid w:val="391F05AC"/>
    <w:rsid w:val="3A721747"/>
    <w:rsid w:val="3AEE0CF3"/>
    <w:rsid w:val="3C012836"/>
    <w:rsid w:val="3C3E1A05"/>
    <w:rsid w:val="3D0A7F6E"/>
    <w:rsid w:val="3D0B7EA9"/>
    <w:rsid w:val="3D651098"/>
    <w:rsid w:val="3D85281F"/>
    <w:rsid w:val="3EF221FB"/>
    <w:rsid w:val="41BA6A6B"/>
    <w:rsid w:val="42925A6E"/>
    <w:rsid w:val="455F73CB"/>
    <w:rsid w:val="45E47CE1"/>
    <w:rsid w:val="45FE62E5"/>
    <w:rsid w:val="46181267"/>
    <w:rsid w:val="46A04AC3"/>
    <w:rsid w:val="485A08C3"/>
    <w:rsid w:val="4A2A3501"/>
    <w:rsid w:val="4BFB4107"/>
    <w:rsid w:val="4D157C9F"/>
    <w:rsid w:val="4D5566C0"/>
    <w:rsid w:val="4D98629D"/>
    <w:rsid w:val="4EDF4AED"/>
    <w:rsid w:val="4F9E3448"/>
    <w:rsid w:val="51196AF7"/>
    <w:rsid w:val="5345724E"/>
    <w:rsid w:val="53D43EAF"/>
    <w:rsid w:val="54F62807"/>
    <w:rsid w:val="55415742"/>
    <w:rsid w:val="55AA596A"/>
    <w:rsid w:val="57E41CBC"/>
    <w:rsid w:val="5898552C"/>
    <w:rsid w:val="591442CD"/>
    <w:rsid w:val="594469AC"/>
    <w:rsid w:val="5B726653"/>
    <w:rsid w:val="5C896B35"/>
    <w:rsid w:val="5C9E7010"/>
    <w:rsid w:val="5CB95887"/>
    <w:rsid w:val="5E741103"/>
    <w:rsid w:val="5F725788"/>
    <w:rsid w:val="607410E6"/>
    <w:rsid w:val="60E80488"/>
    <w:rsid w:val="64BF0AC4"/>
    <w:rsid w:val="64D16DC2"/>
    <w:rsid w:val="65337EFA"/>
    <w:rsid w:val="66531552"/>
    <w:rsid w:val="67B66629"/>
    <w:rsid w:val="68054784"/>
    <w:rsid w:val="685407B7"/>
    <w:rsid w:val="6BFF229D"/>
    <w:rsid w:val="6C6D620F"/>
    <w:rsid w:val="6D4262F5"/>
    <w:rsid w:val="6E607B4D"/>
    <w:rsid w:val="6E8C4A0B"/>
    <w:rsid w:val="6FD06672"/>
    <w:rsid w:val="70D31EC2"/>
    <w:rsid w:val="710D0E02"/>
    <w:rsid w:val="71E032E5"/>
    <w:rsid w:val="7298186E"/>
    <w:rsid w:val="73390894"/>
    <w:rsid w:val="739202A9"/>
    <w:rsid w:val="73B56A7A"/>
    <w:rsid w:val="73DD41BD"/>
    <w:rsid w:val="748E483C"/>
    <w:rsid w:val="75A77F9E"/>
    <w:rsid w:val="75BF1B5F"/>
    <w:rsid w:val="7619513C"/>
    <w:rsid w:val="77C70D07"/>
    <w:rsid w:val="78540E39"/>
    <w:rsid w:val="7C3A1516"/>
    <w:rsid w:val="7E6B70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alloon Text"/>
    <w:basedOn w:val="1"/>
    <w:link w:val="15"/>
    <w:semiHidden/>
    <w:unhideWhenUsed/>
    <w:qFormat/>
    <w:uiPriority w:val="99"/>
    <w:pPr>
      <w:spacing w:line="240" w:lineRule="auto"/>
    </w:pPr>
    <w:rPr>
      <w:sz w:val="18"/>
      <w:szCs w:val="18"/>
    </w:rPr>
  </w:style>
  <w:style w:type="paragraph" w:styleId="4">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semiHidden/>
    <w:unhideWhenUsed/>
    <w:qFormat/>
    <w:uiPriority w:val="99"/>
    <w:rPr>
      <w:sz w:val="24"/>
    </w:rPr>
  </w:style>
  <w:style w:type="paragraph" w:styleId="7">
    <w:name w:val="annotation subject"/>
    <w:basedOn w:val="2"/>
    <w:next w:val="2"/>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font21"/>
    <w:basedOn w:val="9"/>
    <w:qFormat/>
    <w:uiPriority w:val="0"/>
    <w:rPr>
      <w:rFonts w:hint="eastAsia" w:ascii="宋体" w:hAnsi="宋体" w:eastAsia="宋体" w:cs="宋体"/>
      <w:color w:val="000000"/>
      <w:sz w:val="20"/>
      <w:szCs w:val="20"/>
      <w:u w:val="none"/>
    </w:rPr>
  </w:style>
  <w:style w:type="character" w:customStyle="1" w:styleId="14">
    <w:name w:val="font01"/>
    <w:basedOn w:val="9"/>
    <w:qFormat/>
    <w:uiPriority w:val="0"/>
    <w:rPr>
      <w:rFonts w:ascii="Arial" w:hAnsi="Arial" w:cs="Arial"/>
      <w:color w:val="000000"/>
      <w:sz w:val="20"/>
      <w:szCs w:val="20"/>
      <w:u w:val="none"/>
    </w:rPr>
  </w:style>
  <w:style w:type="character" w:customStyle="1" w:styleId="15">
    <w:name w:val="批注框文本 Char"/>
    <w:basedOn w:val="9"/>
    <w:link w:val="3"/>
    <w:semiHidden/>
    <w:qFormat/>
    <w:uiPriority w:val="99"/>
    <w:rPr>
      <w:rFonts w:asciiTheme="minorHAnsi" w:hAnsiTheme="minorHAnsi" w:eastAsiaTheme="minorEastAsia" w:cstheme="minorBidi"/>
      <w:kern w:val="2"/>
      <w:sz w:val="18"/>
      <w:szCs w:val="18"/>
    </w:rPr>
  </w:style>
  <w:style w:type="character" w:customStyle="1" w:styleId="16">
    <w:name w:val="批注文字 Char"/>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Char"/>
    <w:basedOn w:val="16"/>
    <w:link w:val="7"/>
    <w:semiHidden/>
    <w:qFormat/>
    <w:uiPriority w:val="99"/>
    <w:rPr>
      <w:b/>
      <w:bCs/>
    </w:rPr>
  </w:style>
  <w:style w:type="paragraph" w:styleId="1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210</Words>
  <Characters>1201</Characters>
  <Lines>10</Lines>
  <Paragraphs>2</Paragraphs>
  <TotalTime>36</TotalTime>
  <ScaleCrop>false</ScaleCrop>
  <LinksUpToDate>false</LinksUpToDate>
  <CharactersWithSpaces>1409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2019-12-03T08:36:00Z</dcterms:created>
  <dc:creator>Dell</dc:creator>
  <cp:lastModifiedBy>金若君</cp:lastModifiedBy>
  <dcterms:modified xsi:type="dcterms:W3CDTF">2019-12-04T02:44:21Z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