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宋体"/>
          <w:color w:val="000000"/>
          <w:kern w:val="0"/>
          <w:sz w:val="24"/>
          <w:szCs w:val="24"/>
        </w:rPr>
      </w:pPr>
      <w:r>
        <w:rPr>
          <w:rFonts w:hint="eastAsia" w:ascii="黑体" w:eastAsia="黑体" w:cs="宋体"/>
          <w:b/>
          <w:bCs/>
          <w:color w:val="000000"/>
          <w:kern w:val="0"/>
          <w:sz w:val="36"/>
          <w:szCs w:val="36"/>
        </w:rPr>
        <w:t>浙江大学电气工程学院2021年全日制硕士研究生招生考试复试录取工作办法</w:t>
      </w:r>
    </w:p>
    <w:p>
      <w:pPr>
        <w:widowControl/>
        <w:spacing w:line="360" w:lineRule="auto"/>
        <w:ind w:firstLine="540"/>
        <w:jc w:val="left"/>
        <w:rPr>
          <w:rFonts w:ascii="宋体" w:cs="宋体"/>
          <w:color w:val="000000"/>
          <w:kern w:val="0"/>
          <w:sz w:val="24"/>
          <w:szCs w:val="24"/>
        </w:rPr>
      </w:pPr>
      <w:r>
        <w:rPr>
          <w:rFonts w:ascii="宋体" w:cs="宋体"/>
          <w:color w:val="000000"/>
          <w:kern w:val="0"/>
          <w:sz w:val="24"/>
          <w:szCs w:val="24"/>
        </w:rPr>
        <w:t>根据《浙江大学关于做好20</w:t>
      </w:r>
      <w:r>
        <w:rPr>
          <w:rFonts w:hint="eastAsia" w:ascii="宋体" w:cs="宋体"/>
          <w:color w:val="000000"/>
          <w:kern w:val="0"/>
          <w:sz w:val="24"/>
          <w:szCs w:val="24"/>
        </w:rPr>
        <w:t>2</w:t>
      </w:r>
      <w:r>
        <w:rPr>
          <w:rFonts w:ascii="宋体" w:cs="宋体"/>
          <w:color w:val="000000"/>
          <w:kern w:val="0"/>
          <w:sz w:val="24"/>
          <w:szCs w:val="24"/>
        </w:rPr>
        <w:t>1年硕士研究生招生录取工作的通知》，</w:t>
      </w:r>
      <w:r>
        <w:rPr>
          <w:rFonts w:hint="eastAsia" w:ascii="宋体" w:cs="宋体"/>
          <w:color w:val="000000"/>
          <w:kern w:val="0"/>
          <w:sz w:val="24"/>
          <w:szCs w:val="24"/>
        </w:rPr>
        <w:t>202</w:t>
      </w:r>
      <w:r>
        <w:rPr>
          <w:rFonts w:ascii="宋体" w:cs="宋体"/>
          <w:color w:val="000000"/>
          <w:kern w:val="0"/>
          <w:sz w:val="24"/>
          <w:szCs w:val="24"/>
        </w:rPr>
        <w:t>1</w:t>
      </w:r>
      <w:r>
        <w:rPr>
          <w:rFonts w:hint="eastAsia" w:ascii="宋体" w:cs="宋体"/>
          <w:color w:val="000000"/>
          <w:kern w:val="0"/>
          <w:sz w:val="24"/>
          <w:szCs w:val="24"/>
        </w:rPr>
        <w:t>年我院硕士研究生招生录取工作将紧紧围绕立德树人根本任务，坚持“</w:t>
      </w:r>
      <w:r>
        <w:rPr>
          <w:rFonts w:ascii="宋体" w:cs="宋体"/>
          <w:color w:val="000000"/>
          <w:kern w:val="0"/>
          <w:sz w:val="24"/>
          <w:szCs w:val="24"/>
        </w:rPr>
        <w:t>按需招生、</w:t>
      </w:r>
      <w:r>
        <w:rPr>
          <w:rFonts w:hint="eastAsia" w:ascii="宋体" w:cs="宋体"/>
          <w:color w:val="000000"/>
          <w:kern w:val="0"/>
          <w:sz w:val="24"/>
          <w:szCs w:val="24"/>
        </w:rPr>
        <w:t>全面衡量</w:t>
      </w:r>
      <w:r>
        <w:rPr>
          <w:rFonts w:ascii="宋体" w:cs="宋体"/>
          <w:color w:val="000000"/>
          <w:kern w:val="0"/>
          <w:sz w:val="24"/>
          <w:szCs w:val="24"/>
        </w:rPr>
        <w:t>、择优录取</w:t>
      </w:r>
      <w:r>
        <w:rPr>
          <w:rFonts w:hint="eastAsia" w:ascii="宋体" w:cs="宋体"/>
          <w:color w:val="000000"/>
          <w:kern w:val="0"/>
          <w:sz w:val="24"/>
          <w:szCs w:val="24"/>
        </w:rPr>
        <w:t>和</w:t>
      </w:r>
      <w:r>
        <w:rPr>
          <w:rFonts w:ascii="宋体" w:cs="宋体"/>
          <w:color w:val="000000"/>
          <w:kern w:val="0"/>
          <w:sz w:val="24"/>
          <w:szCs w:val="24"/>
        </w:rPr>
        <w:t>宁缺毋滥</w:t>
      </w:r>
      <w:r>
        <w:rPr>
          <w:rFonts w:hint="eastAsia" w:ascii="宋体" w:cs="宋体"/>
          <w:color w:val="000000"/>
          <w:kern w:val="0"/>
          <w:sz w:val="24"/>
          <w:szCs w:val="24"/>
        </w:rPr>
        <w:t>”</w:t>
      </w:r>
      <w:r>
        <w:rPr>
          <w:rFonts w:eastAsia="仿宋_GB2312"/>
          <w:color w:val="000000"/>
          <w:kern w:val="0"/>
          <w:sz w:val="32"/>
          <w:szCs w:val="32"/>
        </w:rPr>
        <w:t>的原则</w:t>
      </w:r>
      <w:r>
        <w:rPr>
          <w:rFonts w:hint="eastAsia" w:ascii="宋体" w:cs="宋体"/>
          <w:color w:val="000000"/>
          <w:kern w:val="0"/>
          <w:sz w:val="24"/>
          <w:szCs w:val="24"/>
        </w:rPr>
        <w:t>，以提高人才选拔质量为核心，确保科学规范、公平公正。</w:t>
      </w:r>
      <w:r>
        <w:rPr>
          <w:rFonts w:ascii="宋体" w:cs="宋体"/>
          <w:color w:val="000000"/>
          <w:kern w:val="0"/>
          <w:sz w:val="24"/>
          <w:szCs w:val="24"/>
        </w:rPr>
        <w:t>经</w:t>
      </w:r>
      <w:r>
        <w:rPr>
          <w:rFonts w:hint="eastAsia" w:ascii="宋体" w:cs="宋体"/>
          <w:color w:val="000000"/>
          <w:kern w:val="0"/>
          <w:sz w:val="24"/>
          <w:szCs w:val="24"/>
        </w:rPr>
        <w:t>学院党政联席会议</w:t>
      </w:r>
      <w:r>
        <w:rPr>
          <w:rFonts w:ascii="宋体" w:cs="宋体"/>
          <w:color w:val="000000"/>
          <w:kern w:val="0"/>
          <w:sz w:val="24"/>
          <w:szCs w:val="24"/>
        </w:rPr>
        <w:t>审议，制定20</w:t>
      </w:r>
      <w:r>
        <w:rPr>
          <w:rFonts w:hint="eastAsia" w:ascii="宋体" w:cs="宋体"/>
          <w:color w:val="000000"/>
          <w:kern w:val="0"/>
          <w:sz w:val="24"/>
          <w:szCs w:val="24"/>
        </w:rPr>
        <w:t>2</w:t>
      </w:r>
      <w:r>
        <w:rPr>
          <w:rFonts w:ascii="宋体" w:cs="宋体"/>
          <w:color w:val="000000"/>
          <w:kern w:val="0"/>
          <w:sz w:val="24"/>
          <w:szCs w:val="24"/>
        </w:rPr>
        <w:t>1年我院硕士研究生</w:t>
      </w:r>
      <w:r>
        <w:rPr>
          <w:rFonts w:hint="eastAsia" w:ascii="宋体" w:cs="宋体"/>
          <w:color w:val="000000"/>
          <w:kern w:val="0"/>
          <w:sz w:val="24"/>
          <w:szCs w:val="24"/>
        </w:rPr>
        <w:t>（统考生）</w:t>
      </w:r>
      <w:r>
        <w:rPr>
          <w:rFonts w:ascii="宋体" w:cs="宋体"/>
          <w:color w:val="000000"/>
          <w:kern w:val="0"/>
          <w:sz w:val="24"/>
          <w:szCs w:val="24"/>
        </w:rPr>
        <w:t>招生复试和录取工作方案</w:t>
      </w:r>
    </w:p>
    <w:p>
      <w:pPr>
        <w:widowControl/>
        <w:spacing w:line="360" w:lineRule="auto"/>
        <w:jc w:val="left"/>
        <w:rPr>
          <w:rFonts w:ascii="宋体" w:cs="宋体"/>
          <w:color w:val="000000"/>
          <w:kern w:val="0"/>
          <w:sz w:val="24"/>
          <w:szCs w:val="24"/>
        </w:rPr>
      </w:pPr>
      <w:r>
        <w:rPr>
          <w:rFonts w:hint="eastAsia" w:ascii="宋体" w:cs="宋体"/>
          <w:b/>
          <w:bCs/>
          <w:color w:val="000000"/>
          <w:kern w:val="0"/>
          <w:sz w:val="24"/>
          <w:szCs w:val="24"/>
        </w:rPr>
        <w:t>一、组织与领导</w:t>
      </w:r>
    </w:p>
    <w:p>
      <w:pPr>
        <w:widowControl/>
        <w:spacing w:line="360" w:lineRule="auto"/>
        <w:ind w:firstLine="540"/>
        <w:jc w:val="left"/>
        <w:rPr>
          <w:rFonts w:ascii="宋体" w:cs="宋体"/>
          <w:color w:val="040404"/>
          <w:kern w:val="0"/>
          <w:szCs w:val="21"/>
        </w:rPr>
      </w:pPr>
      <w:r>
        <w:rPr>
          <w:rFonts w:hint="eastAsia" w:ascii="宋体" w:cs="宋体"/>
          <w:color w:val="000000"/>
          <w:kern w:val="0"/>
          <w:sz w:val="24"/>
          <w:szCs w:val="24"/>
        </w:rPr>
        <w:t>我院成立研究生招生工作领导小组，全面负责电气工程学院硕士研究生复试和录取工作，负责受理考生的质疑、申诉，具体名单及联系方式如下：</w:t>
      </w:r>
    </w:p>
    <w:p>
      <w:pPr>
        <w:spacing w:line="360" w:lineRule="auto"/>
        <w:rPr>
          <w:sz w:val="24"/>
        </w:rPr>
      </w:pPr>
      <w:r>
        <w:rPr>
          <w:rFonts w:hint="eastAsia"/>
          <w:sz w:val="24"/>
        </w:rPr>
        <w:t>组长：盛况  汤海旸</w:t>
      </w:r>
    </w:p>
    <w:p>
      <w:pPr>
        <w:spacing w:line="360" w:lineRule="auto"/>
        <w:rPr>
          <w:sz w:val="24"/>
        </w:rPr>
      </w:pPr>
      <w:r>
        <w:rPr>
          <w:rFonts w:hint="eastAsia"/>
          <w:sz w:val="24"/>
        </w:rPr>
        <w:t xml:space="preserve">副组长：沈建新  徐超炯  </w:t>
      </w:r>
    </w:p>
    <w:p>
      <w:pPr>
        <w:spacing w:line="360" w:lineRule="auto"/>
        <w:rPr>
          <w:sz w:val="24"/>
        </w:rPr>
      </w:pPr>
      <w:r>
        <w:rPr>
          <w:rFonts w:hint="eastAsia"/>
          <w:sz w:val="24"/>
        </w:rPr>
        <w:t xml:space="preserve">成员：黄晓艳  杨欢 阎彦 辛焕海  江道灼  丁一  张军明  杜丽  陈敏  </w:t>
      </w:r>
    </w:p>
    <w:p>
      <w:pPr>
        <w:spacing w:line="360" w:lineRule="auto"/>
        <w:rPr>
          <w:sz w:val="24"/>
        </w:rPr>
      </w:pPr>
      <w:r>
        <w:rPr>
          <w:rFonts w:hint="eastAsia"/>
          <w:sz w:val="24"/>
        </w:rPr>
        <w:t xml:space="preserve">      林平  潘丽萍  孙晖  徐文渊  彭勇刚  于淼   王瑞  沈远 金若君</w:t>
      </w:r>
    </w:p>
    <w:p>
      <w:pPr>
        <w:spacing w:line="360" w:lineRule="auto"/>
        <w:jc w:val="left"/>
        <w:rPr>
          <w:sz w:val="24"/>
        </w:rPr>
      </w:pPr>
      <w:r>
        <w:rPr>
          <w:rFonts w:hint="eastAsia"/>
          <w:sz w:val="24"/>
        </w:rPr>
        <w:t>申诉联系人：金若君 徐超炯，申诉电话：0571-87951691，</w:t>
      </w:r>
    </w:p>
    <w:p>
      <w:pPr>
        <w:spacing w:line="360" w:lineRule="auto"/>
        <w:jc w:val="left"/>
        <w:rPr>
          <w:sz w:val="24"/>
        </w:rPr>
      </w:pPr>
      <w:r>
        <w:rPr>
          <w:rFonts w:hint="eastAsia"/>
          <w:sz w:val="24"/>
        </w:rPr>
        <w:t xml:space="preserve">            电子邮箱：eegrs@zju.edu.cn，xuchaojiong@zju.edu.cn</w:t>
      </w:r>
    </w:p>
    <w:p>
      <w:pPr>
        <w:spacing w:line="360" w:lineRule="auto"/>
        <w:rPr>
          <w:b/>
          <w:sz w:val="24"/>
        </w:rPr>
      </w:pPr>
      <w:r>
        <w:rPr>
          <w:rFonts w:hint="eastAsia"/>
          <w:b/>
          <w:sz w:val="24"/>
        </w:rPr>
        <w:t>二、学院分数线与招生计划</w:t>
      </w:r>
    </w:p>
    <w:p>
      <w:pPr>
        <w:spacing w:line="360" w:lineRule="auto"/>
        <w:ind w:firstLine="482" w:firstLineChars="200"/>
        <w:rPr>
          <w:b/>
          <w:sz w:val="24"/>
        </w:rPr>
      </w:pPr>
      <w:r>
        <w:rPr>
          <w:rFonts w:hint="eastAsia"/>
          <w:b/>
          <w:sz w:val="24"/>
        </w:rPr>
        <w:t>1、学院分数线</w:t>
      </w:r>
    </w:p>
    <w:p>
      <w:pPr>
        <w:adjustRightInd w:val="0"/>
        <w:snapToGrid w:val="0"/>
        <w:spacing w:line="360" w:lineRule="auto"/>
        <w:ind w:firstLine="480" w:firstLineChars="200"/>
        <w:rPr>
          <w:sz w:val="24"/>
        </w:rPr>
      </w:pPr>
      <w:r>
        <w:rPr>
          <w:rFonts w:hint="eastAsia"/>
          <w:sz w:val="24"/>
        </w:rPr>
        <w:t>本次电气工程学院统考考生</w:t>
      </w:r>
      <w:r>
        <w:rPr>
          <w:sz w:val="24"/>
        </w:rPr>
        <w:t>达到</w:t>
      </w:r>
      <w:r>
        <w:rPr>
          <w:rFonts w:hint="eastAsia"/>
          <w:sz w:val="24"/>
        </w:rPr>
        <w:t>浙江大学工学门类分数线（工学学术学位分数线）90名（其中1人为“强军”专项计划），学校下达本次可录取统考学术学位招生指标51名（含纳米院单列1名）；本次电气工程学院统考考生</w:t>
      </w:r>
      <w:r>
        <w:rPr>
          <w:sz w:val="24"/>
        </w:rPr>
        <w:t>达到</w:t>
      </w:r>
      <w:r>
        <w:rPr>
          <w:rFonts w:hint="eastAsia"/>
          <w:sz w:val="24"/>
        </w:rPr>
        <w:t>浙江大学能源动力类别分数线（专业学位分数线）60名，学校下达本次可录取统考专业学位招生指标41名（含“海宁国际校区、宁波理工联培、微电子学院、科创中心”等招生指标）。“强军计划”专项由学校差额录取。</w:t>
      </w:r>
    </w:p>
    <w:p>
      <w:pPr>
        <w:adjustRightInd w:val="0"/>
        <w:snapToGrid w:val="0"/>
        <w:spacing w:line="360" w:lineRule="auto"/>
        <w:ind w:firstLine="480" w:firstLineChars="200"/>
        <w:rPr>
          <w:sz w:val="24"/>
        </w:rPr>
      </w:pPr>
      <w:r>
        <w:rPr>
          <w:rFonts w:hint="eastAsia"/>
          <w:sz w:val="24"/>
        </w:rPr>
        <w:t>综合考虑电气工程学院的考生初试成绩、报名情况及招生名额，根据学校规定，划定学院学术学位分数线</w:t>
      </w:r>
      <w:r>
        <w:rPr>
          <w:sz w:val="24"/>
        </w:rPr>
        <w:t>总分</w:t>
      </w:r>
      <w:r>
        <w:rPr>
          <w:rFonts w:hint="eastAsia"/>
          <w:sz w:val="24"/>
        </w:rPr>
        <w:t>355分、专业学位分数线</w:t>
      </w:r>
      <w:r>
        <w:rPr>
          <w:sz w:val="24"/>
        </w:rPr>
        <w:t>总分</w:t>
      </w:r>
      <w:r>
        <w:rPr>
          <w:rFonts w:hint="eastAsia"/>
          <w:sz w:val="24"/>
        </w:rPr>
        <w:t>320分，单科分数线均同学校分数线，均执行学校“总高单低”上线考生总分扣减政策。强军计划同学校强军计划分数线。上电气学院分数线名单见附件1。</w:t>
      </w:r>
    </w:p>
    <w:p>
      <w:pPr>
        <w:adjustRightInd w:val="0"/>
        <w:snapToGrid w:val="0"/>
        <w:spacing w:line="360" w:lineRule="auto"/>
        <w:ind w:firstLine="480" w:firstLineChars="200"/>
        <w:rPr>
          <w:sz w:val="24"/>
        </w:rPr>
      </w:pPr>
      <w:r>
        <w:rPr>
          <w:rFonts w:hint="eastAsia"/>
          <w:sz w:val="24"/>
        </w:rPr>
        <w:t>学院内由各二级学科组织复试，实行差额复试，按学位种类（学术学位或专业学位）、专业研究方向，招生数与复试比控制在1:1.3，如末位同分则同时纳入复试名单，下同。招生数很少（如少于3名）的，复试比例可适当突破</w:t>
      </w:r>
      <w:r>
        <w:rPr>
          <w:sz w:val="24"/>
        </w:rPr>
        <w:t>1.3</w:t>
      </w:r>
      <w:r>
        <w:rPr>
          <w:rFonts w:hint="eastAsia"/>
          <w:sz w:val="24"/>
        </w:rPr>
        <w:t>。</w:t>
      </w:r>
    </w:p>
    <w:p>
      <w:pPr>
        <w:adjustRightInd w:val="0"/>
        <w:snapToGrid w:val="0"/>
        <w:spacing w:line="360" w:lineRule="auto"/>
        <w:ind w:firstLine="482" w:firstLineChars="200"/>
        <w:rPr>
          <w:b/>
          <w:bCs/>
          <w:sz w:val="24"/>
        </w:rPr>
      </w:pPr>
      <w:r>
        <w:rPr>
          <w:rFonts w:hint="eastAsia"/>
          <w:b/>
          <w:bCs/>
          <w:sz w:val="24"/>
        </w:rPr>
        <w:t>2、招生计划</w:t>
      </w:r>
    </w:p>
    <w:p>
      <w:pPr>
        <w:adjustRightInd w:val="0"/>
        <w:snapToGrid w:val="0"/>
        <w:spacing w:line="360" w:lineRule="auto"/>
        <w:ind w:firstLine="480" w:firstLineChars="200"/>
        <w:jc w:val="left"/>
        <w:rPr>
          <w:sz w:val="24"/>
        </w:rPr>
      </w:pPr>
      <w:r>
        <w:rPr>
          <w:rFonts w:hint="eastAsia"/>
          <w:sz w:val="24"/>
        </w:rPr>
        <w:t>学校下达电气工程学院统考招生计划中学术学位硕士生51名、专业学位硕士生（能源动力大类电气工程领域）41名。具体如下：</w:t>
      </w:r>
    </w:p>
    <w:tbl>
      <w:tblPr>
        <w:tblStyle w:val="12"/>
        <w:tblW w:w="8237" w:type="dxa"/>
        <w:tblInd w:w="0" w:type="dxa"/>
        <w:tblLayout w:type="fixed"/>
        <w:tblCellMar>
          <w:top w:w="0" w:type="dxa"/>
          <w:left w:w="0" w:type="dxa"/>
          <w:bottom w:w="0" w:type="dxa"/>
          <w:right w:w="0" w:type="dxa"/>
        </w:tblCellMar>
      </w:tblPr>
      <w:tblGrid>
        <w:gridCol w:w="1149"/>
        <w:gridCol w:w="3402"/>
        <w:gridCol w:w="3686"/>
      </w:tblGrid>
      <w:tr>
        <w:tblPrEx>
          <w:tblCellMar>
            <w:top w:w="0" w:type="dxa"/>
            <w:left w:w="0" w:type="dxa"/>
            <w:bottom w:w="0" w:type="dxa"/>
            <w:right w:w="0" w:type="dxa"/>
          </w:tblCellMar>
        </w:tblPrEx>
        <w:trPr>
          <w:trHeight w:val="48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专业名称</w:t>
            </w:r>
          </w:p>
          <w:p>
            <w:pPr>
              <w:widowControl/>
              <w:jc w:val="center"/>
              <w:textAlignment w:val="center"/>
              <w:rPr>
                <w:rFonts w:ascii="宋体" w:cs="宋体"/>
                <w:color w:val="000000"/>
                <w:sz w:val="20"/>
                <w:szCs w:val="20"/>
              </w:rPr>
            </w:pPr>
            <w:r>
              <w:rPr>
                <w:rFonts w:hint="eastAsia" w:ascii="宋体" w:cs="宋体"/>
                <w:color w:val="000000"/>
                <w:kern w:val="0"/>
                <w:sz w:val="20"/>
                <w:szCs w:val="20"/>
              </w:rPr>
              <w:t>及代码</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Times New Roman" w:hAnsi="Times New Roman" w:cs="Times New Roman"/>
                <w:color w:val="000000"/>
                <w:kern w:val="0"/>
                <w:sz w:val="20"/>
                <w:szCs w:val="20"/>
              </w:rPr>
              <w:t>研究</w:t>
            </w:r>
            <w:r>
              <w:rPr>
                <w:rFonts w:hint="eastAsia" w:ascii="宋体" w:cs="宋体"/>
                <w:color w:val="000000"/>
                <w:kern w:val="0"/>
                <w:sz w:val="20"/>
                <w:szCs w:val="20"/>
              </w:rPr>
              <w:t>方向（二级学科方向）</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本次统考招生数</w:t>
            </w:r>
          </w:p>
        </w:tc>
      </w:tr>
      <w:tr>
        <w:tblPrEx>
          <w:tblCellMar>
            <w:top w:w="0" w:type="dxa"/>
            <w:left w:w="0" w:type="dxa"/>
            <w:bottom w:w="0" w:type="dxa"/>
            <w:right w:w="0" w:type="dxa"/>
          </w:tblCellMar>
        </w:tblPrEx>
        <w:trPr>
          <w:trHeight w:val="320" w:hRule="atLeast"/>
        </w:trPr>
        <w:tc>
          <w:tcPr>
            <w:tcW w:w="11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电气工程</w:t>
            </w:r>
          </w:p>
          <w:p>
            <w:pPr>
              <w:widowControl/>
              <w:jc w:val="center"/>
              <w:textAlignment w:val="center"/>
              <w:rPr>
                <w:rFonts w:ascii="宋体" w:cs="宋体"/>
                <w:color w:val="000000"/>
                <w:kern w:val="0"/>
                <w:sz w:val="20"/>
                <w:szCs w:val="20"/>
              </w:rPr>
            </w:pPr>
            <w:r>
              <w:rPr>
                <w:rFonts w:hint="eastAsia" w:ascii="宋体" w:cs="宋体"/>
                <w:color w:val="000000"/>
                <w:kern w:val="0"/>
                <w:sz w:val="20"/>
                <w:szCs w:val="20"/>
              </w:rPr>
              <w:t>（0808）</w:t>
            </w:r>
          </w:p>
          <w:p>
            <w:pPr>
              <w:widowControl/>
              <w:jc w:val="center"/>
              <w:textAlignment w:val="center"/>
              <w:rPr>
                <w:rFonts w:ascii="宋体" w:cs="宋体"/>
                <w:color w:val="000000"/>
                <w:sz w:val="20"/>
                <w:szCs w:val="20"/>
              </w:rPr>
            </w:pPr>
            <w:r>
              <w:rPr>
                <w:rFonts w:hint="eastAsia" w:ascii="宋体" w:cs="宋体"/>
                <w:color w:val="000000"/>
                <w:kern w:val="0"/>
                <w:sz w:val="20"/>
                <w:szCs w:val="20"/>
              </w:rPr>
              <w:t>（学术学位）</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电机与电器（080801）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12 +</w:t>
            </w:r>
            <w:r>
              <w:rPr>
                <w:rFonts w:hint="eastAsia" w:ascii="宋体" w:cs="宋体"/>
                <w:kern w:val="0"/>
                <w:sz w:val="20"/>
                <w:szCs w:val="20"/>
              </w:rPr>
              <w:t>1纳米研究院</w:t>
            </w:r>
          </w:p>
        </w:tc>
      </w:tr>
      <w:tr>
        <w:tblPrEx>
          <w:tblCellMar>
            <w:top w:w="0" w:type="dxa"/>
            <w:left w:w="0" w:type="dxa"/>
            <w:bottom w:w="0" w:type="dxa"/>
            <w:right w:w="0" w:type="dxa"/>
          </w:tblCellMar>
        </w:tblPrEx>
        <w:trPr>
          <w:trHeight w:val="665"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电力系统及其自动化（080802）</w:t>
            </w:r>
          </w:p>
          <w:p>
            <w:pPr>
              <w:jc w:val="center"/>
              <w:textAlignment w:val="center"/>
              <w:rPr>
                <w:rFonts w:ascii="宋体" w:cs="宋体"/>
                <w:color w:val="000000"/>
                <w:sz w:val="20"/>
                <w:szCs w:val="20"/>
              </w:rPr>
            </w:pPr>
            <w:r>
              <w:rPr>
                <w:rFonts w:hint="eastAsia" w:ascii="宋体" w:cs="宋体"/>
                <w:color w:val="000000"/>
                <w:kern w:val="0"/>
                <w:sz w:val="20"/>
                <w:szCs w:val="20"/>
              </w:rPr>
              <w:t>高电压与绝缘技术（080803）</w:t>
            </w:r>
          </w:p>
        </w:tc>
        <w:tc>
          <w:tcPr>
            <w:tcW w:w="368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cs="宋体"/>
                <w:color w:val="000000"/>
                <w:sz w:val="20"/>
                <w:szCs w:val="20"/>
              </w:rPr>
            </w:pPr>
            <w:r>
              <w:rPr>
                <w:rFonts w:hint="eastAsia" w:ascii="宋体" w:cs="宋体"/>
                <w:color w:val="000000"/>
                <w:kern w:val="0"/>
                <w:sz w:val="20"/>
                <w:szCs w:val="20"/>
              </w:rPr>
              <w:t>12</w:t>
            </w:r>
            <w:r>
              <w:rPr>
                <w:rFonts w:ascii="宋体" w:cs="宋体"/>
                <w:color w:val="000000"/>
                <w:kern w:val="0"/>
                <w:sz w:val="20"/>
                <w:szCs w:val="20"/>
              </w:rPr>
              <w:t>+</w:t>
            </w:r>
            <w:r>
              <w:rPr>
                <w:rFonts w:hint="eastAsia" w:ascii="宋体" w:cs="宋体"/>
                <w:color w:val="000000"/>
                <w:kern w:val="0"/>
                <w:sz w:val="20"/>
                <w:szCs w:val="20"/>
              </w:rPr>
              <w:t>1</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电力电子与电力传动（080804）</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10</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电工理论与新技术（080805）</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3</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电气信息技术（0808z1）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2</w:t>
            </w:r>
          </w:p>
        </w:tc>
      </w:tr>
      <w:tr>
        <w:tblPrEx>
          <w:tblCellMar>
            <w:top w:w="0" w:type="dxa"/>
            <w:left w:w="0" w:type="dxa"/>
            <w:bottom w:w="0" w:type="dxa"/>
            <w:right w:w="0" w:type="dxa"/>
          </w:tblCellMar>
        </w:tblPrEx>
        <w:trPr>
          <w:trHeight w:val="320"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控制科学与工程</w:t>
            </w:r>
          </w:p>
          <w:p>
            <w:pPr>
              <w:widowControl/>
              <w:jc w:val="center"/>
              <w:textAlignment w:val="center"/>
              <w:rPr>
                <w:rFonts w:ascii="宋体" w:cs="宋体"/>
                <w:color w:val="000000"/>
                <w:kern w:val="0"/>
                <w:sz w:val="20"/>
                <w:szCs w:val="20"/>
              </w:rPr>
            </w:pPr>
            <w:r>
              <w:rPr>
                <w:rFonts w:hint="eastAsia" w:ascii="宋体" w:cs="宋体"/>
                <w:color w:val="000000"/>
                <w:kern w:val="0"/>
                <w:sz w:val="20"/>
                <w:szCs w:val="20"/>
              </w:rPr>
              <w:t>（0811）</w:t>
            </w:r>
          </w:p>
          <w:p>
            <w:pPr>
              <w:widowControl/>
              <w:jc w:val="center"/>
              <w:textAlignment w:val="center"/>
              <w:rPr>
                <w:rFonts w:ascii="宋体" w:cs="宋体"/>
                <w:color w:val="000000"/>
                <w:sz w:val="20"/>
                <w:szCs w:val="20"/>
              </w:rPr>
            </w:pPr>
            <w:r>
              <w:rPr>
                <w:rFonts w:hint="eastAsia" w:ascii="宋体" w:cs="宋体"/>
                <w:color w:val="000000"/>
                <w:kern w:val="0"/>
                <w:sz w:val="20"/>
                <w:szCs w:val="20"/>
              </w:rPr>
              <w:t>（学术学位）</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控制理论与控制工程（081101）</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sz w:val="20"/>
                <w:szCs w:val="20"/>
              </w:rPr>
              <w:t>10</w:t>
            </w:r>
          </w:p>
        </w:tc>
      </w:tr>
      <w:tr>
        <w:tblPrEx>
          <w:tblCellMar>
            <w:top w:w="0" w:type="dxa"/>
            <w:left w:w="0" w:type="dxa"/>
            <w:bottom w:w="0" w:type="dxa"/>
            <w:right w:w="0" w:type="dxa"/>
          </w:tblCellMar>
        </w:tblPrEx>
        <w:trPr>
          <w:trHeight w:val="320" w:hRule="atLeast"/>
        </w:trPr>
        <w:tc>
          <w:tcPr>
            <w:tcW w:w="11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21"/>
              </w:rPr>
            </w:pPr>
            <w:r>
              <w:rPr>
                <w:rStyle w:val="21"/>
              </w:rPr>
              <w:t>能源动力</w:t>
            </w:r>
          </w:p>
          <w:p>
            <w:pPr>
              <w:widowControl/>
              <w:jc w:val="center"/>
              <w:textAlignment w:val="center"/>
              <w:rPr>
                <w:rStyle w:val="21"/>
              </w:rPr>
            </w:pPr>
            <w:r>
              <w:rPr>
                <w:rStyle w:val="21"/>
              </w:rPr>
              <w:t>（</w:t>
            </w:r>
            <w:r>
              <w:rPr>
                <w:rFonts w:ascii="Times New Roman" w:hAnsi="Times New Roman" w:cs="Times New Roman"/>
                <w:color w:val="000000"/>
                <w:kern w:val="0"/>
                <w:sz w:val="20"/>
                <w:szCs w:val="20"/>
              </w:rPr>
              <w:t>0858</w:t>
            </w:r>
            <w:r>
              <w:rPr>
                <w:rStyle w:val="21"/>
              </w:rPr>
              <w:t>）</w:t>
            </w:r>
          </w:p>
          <w:p>
            <w:pPr>
              <w:widowControl/>
              <w:jc w:val="center"/>
              <w:textAlignment w:val="center"/>
              <w:rPr>
                <w:rFonts w:ascii="宋体" w:cs="宋体"/>
                <w:color w:val="000000"/>
                <w:sz w:val="20"/>
                <w:szCs w:val="20"/>
              </w:rPr>
            </w:pPr>
            <w:r>
              <w:rPr>
                <w:rStyle w:val="21"/>
              </w:rPr>
              <w:t>（专业学位）</w:t>
            </w: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07</w:t>
            </w:r>
            <w:r>
              <w:rPr>
                <w:rStyle w:val="21"/>
              </w:rPr>
              <w:t>电气工程（电机与电器）</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8</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07电气工程（电力系统及其自动化）</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9</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07</w:t>
            </w:r>
            <w:r>
              <w:rPr>
                <w:rStyle w:val="21"/>
              </w:rPr>
              <w:t>电气工程（电力电子与电力传动）</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kern w:val="0"/>
                <w:sz w:val="20"/>
                <w:szCs w:val="20"/>
              </w:rPr>
              <w:t>12</w:t>
            </w:r>
            <w:r>
              <w:rPr>
                <w:rFonts w:hint="eastAsia" w:ascii="宋体" w:cs="宋体"/>
                <w:color w:val="auto"/>
                <w:kern w:val="0"/>
                <w:sz w:val="20"/>
                <w:szCs w:val="20"/>
              </w:rPr>
              <w:t>（含浙江大学科创中心2名、微电子中心1名</w:t>
            </w:r>
            <w:r>
              <w:rPr>
                <w:rFonts w:hint="eastAsia" w:ascii="宋体" w:cs="宋体"/>
                <w:kern w:val="0"/>
                <w:sz w:val="20"/>
                <w:szCs w:val="20"/>
              </w:rPr>
              <w:t>、浙江大学海宁校区电气工程（数字化电气）委托招生1名）</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07</w:t>
            </w:r>
            <w:r>
              <w:rPr>
                <w:rStyle w:val="21"/>
              </w:rPr>
              <w:t>电气工程（电工理论与新技术）</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0"/>
                <w:szCs w:val="20"/>
              </w:rPr>
            </w:pPr>
            <w:r>
              <w:rPr>
                <w:rFonts w:hint="eastAsia" w:ascii="宋体" w:cs="宋体"/>
                <w:color w:val="000000"/>
                <w:sz w:val="20"/>
                <w:szCs w:val="20"/>
              </w:rPr>
              <w:t>1</w:t>
            </w:r>
          </w:p>
        </w:tc>
      </w:tr>
      <w:tr>
        <w:tblPrEx>
          <w:tblCellMar>
            <w:top w:w="0" w:type="dxa"/>
            <w:left w:w="0" w:type="dxa"/>
            <w:bottom w:w="0" w:type="dxa"/>
            <w:right w:w="0" w:type="dxa"/>
          </w:tblCellMar>
        </w:tblPrEx>
        <w:trPr>
          <w:trHeight w:val="320" w:hRule="atLeast"/>
        </w:trPr>
        <w:tc>
          <w:tcPr>
            <w:tcW w:w="114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3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07</w:t>
            </w:r>
            <w:r>
              <w:rPr>
                <w:rStyle w:val="21"/>
              </w:rPr>
              <w:t>电气工程（电气信息技术）</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11</w:t>
            </w:r>
          </w:p>
          <w:p>
            <w:pPr>
              <w:widowControl/>
              <w:jc w:val="center"/>
              <w:textAlignment w:val="center"/>
              <w:rPr>
                <w:rFonts w:ascii="宋体" w:cs="宋体"/>
                <w:color w:val="000000"/>
                <w:sz w:val="20"/>
                <w:szCs w:val="20"/>
              </w:rPr>
            </w:pPr>
            <w:r>
              <w:rPr>
                <w:rFonts w:hint="eastAsia" w:ascii="宋体" w:cs="宋体"/>
                <w:color w:val="000000"/>
                <w:kern w:val="0"/>
                <w:sz w:val="20"/>
                <w:szCs w:val="20"/>
              </w:rPr>
              <w:t>（含</w:t>
            </w:r>
            <w:r>
              <w:rPr>
                <w:rFonts w:hint="eastAsia" w:ascii="宋体" w:cs="宋体"/>
                <w:color w:val="auto"/>
                <w:kern w:val="0"/>
                <w:sz w:val="20"/>
                <w:szCs w:val="20"/>
              </w:rPr>
              <w:t>浙江大学余姚机器人研究院1名、</w:t>
            </w:r>
            <w:r>
              <w:rPr>
                <w:rFonts w:hint="eastAsia" w:ascii="宋体" w:cs="宋体"/>
                <w:kern w:val="0"/>
                <w:sz w:val="20"/>
                <w:szCs w:val="20"/>
              </w:rPr>
              <w:t>浙江大学-宁波理工学院联培1名）</w:t>
            </w:r>
          </w:p>
        </w:tc>
      </w:tr>
    </w:tbl>
    <w:p>
      <w:pPr>
        <w:widowControl/>
        <w:adjustRightInd w:val="0"/>
        <w:snapToGrid w:val="0"/>
        <w:jc w:val="left"/>
        <w:rPr>
          <w:sz w:val="18"/>
          <w:szCs w:val="18"/>
        </w:rPr>
      </w:pPr>
      <w:r>
        <w:rPr>
          <w:rFonts w:hint="eastAsia"/>
          <w:sz w:val="18"/>
          <w:szCs w:val="18"/>
        </w:rPr>
        <w:t>注：</w:t>
      </w:r>
      <w:r>
        <w:rPr>
          <w:sz w:val="18"/>
          <w:szCs w:val="18"/>
        </w:rPr>
        <w:tab/>
      </w:r>
      <w:r>
        <w:rPr>
          <w:rFonts w:hint="eastAsia"/>
          <w:sz w:val="18"/>
          <w:szCs w:val="18"/>
        </w:rPr>
        <w:t>1）浙江大学-宁波理工联培生第一学年的学习、住宿在玉泉校区，其余时间在宁波理工学院。</w:t>
      </w:r>
    </w:p>
    <w:p>
      <w:pPr>
        <w:widowControl/>
        <w:adjustRightInd w:val="0"/>
        <w:snapToGrid w:val="0"/>
        <w:ind w:firstLine="420"/>
        <w:jc w:val="left"/>
        <w:rPr>
          <w:rStyle w:val="20"/>
          <w:sz w:val="18"/>
          <w:szCs w:val="18"/>
        </w:rPr>
      </w:pPr>
      <w:r>
        <w:rPr>
          <w:rFonts w:hint="eastAsia"/>
          <w:sz w:val="18"/>
          <w:szCs w:val="18"/>
        </w:rPr>
        <w:t>2）</w:t>
      </w:r>
      <w:r>
        <w:rPr>
          <w:rStyle w:val="20"/>
          <w:rFonts w:hint="eastAsia"/>
        </w:rPr>
        <w:t>海宁校区委托招生，学籍和住宿均在海宁校区，在浙江大学-伊利诺伊大学厄巴纳香槟校区联合学院进行培养。</w:t>
      </w:r>
      <w:bookmarkStart w:id="0" w:name="_GoBack"/>
      <w:bookmarkEnd w:id="0"/>
    </w:p>
    <w:p>
      <w:pPr>
        <w:widowControl/>
        <w:adjustRightInd w:val="0"/>
        <w:snapToGrid w:val="0"/>
        <w:ind w:firstLine="400" w:firstLineChars="200"/>
        <w:jc w:val="left"/>
        <w:rPr>
          <w:kern w:val="0"/>
        </w:rPr>
      </w:pPr>
      <w:r>
        <w:rPr>
          <w:rFonts w:hint="eastAsia" w:ascii="宋体" w:cs="宋体"/>
          <w:color w:val="000000"/>
          <w:kern w:val="0"/>
          <w:sz w:val="20"/>
          <w:szCs w:val="20"/>
        </w:rPr>
        <w:t>3)浙江大学科创中心2名,招收的学生由电气学院统一管理，住宿为：第一年住主校区、第二年住宿到科创中心。</w:t>
      </w:r>
    </w:p>
    <w:p>
      <w:pPr>
        <w:widowControl/>
        <w:tabs>
          <w:tab w:val="left" w:pos="1181"/>
        </w:tabs>
        <w:spacing w:line="360" w:lineRule="auto"/>
        <w:jc w:val="left"/>
        <w:rPr>
          <w:rFonts w:ascii="宋体" w:cs="宋体"/>
          <w:b/>
          <w:bCs/>
          <w:color w:val="000000"/>
          <w:kern w:val="0"/>
          <w:sz w:val="24"/>
          <w:szCs w:val="24"/>
        </w:rPr>
      </w:pPr>
    </w:p>
    <w:p>
      <w:pPr>
        <w:widowControl/>
        <w:tabs>
          <w:tab w:val="left" w:pos="1181"/>
        </w:tabs>
        <w:spacing w:line="360" w:lineRule="auto"/>
        <w:jc w:val="left"/>
        <w:rPr>
          <w:rFonts w:ascii="宋体" w:cs="宋体"/>
          <w:b/>
          <w:bCs/>
          <w:color w:val="000000"/>
          <w:kern w:val="0"/>
          <w:sz w:val="24"/>
          <w:szCs w:val="24"/>
        </w:rPr>
      </w:pPr>
      <w:r>
        <w:rPr>
          <w:rFonts w:hint="eastAsia" w:ascii="宋体" w:cs="宋体"/>
          <w:b/>
          <w:bCs/>
          <w:color w:val="000000"/>
          <w:kern w:val="0"/>
          <w:sz w:val="24"/>
          <w:szCs w:val="24"/>
        </w:rPr>
        <w:t>三、复试名单</w:t>
      </w:r>
    </w:p>
    <w:p>
      <w:pPr>
        <w:adjustRightInd w:val="0"/>
        <w:snapToGrid w:val="0"/>
        <w:spacing w:line="360" w:lineRule="auto"/>
        <w:ind w:firstLine="480" w:firstLineChars="200"/>
        <w:rPr>
          <w:sz w:val="24"/>
        </w:rPr>
      </w:pPr>
      <w:r>
        <w:rPr>
          <w:rFonts w:hint="eastAsia"/>
          <w:sz w:val="24"/>
        </w:rPr>
        <w:t>1、按学院学术学位、专业学位分数线，并按考生报考的学位种类（学术学位或专业学位）、专业研究方向为其第一志愿。按第一志愿分别对上线考生的统考</w:t>
      </w:r>
      <w:r>
        <w:rPr>
          <w:sz w:val="24"/>
        </w:rPr>
        <w:t>初试成绩排序（</w:t>
      </w:r>
      <w:r>
        <w:rPr>
          <w:rFonts w:hint="eastAsia"/>
          <w:sz w:val="24"/>
        </w:rPr>
        <w:t>“总高单低”政策上线考生，总分相应扣减后计算各项排名），按招生人数与复试名额</w:t>
      </w:r>
      <w:r>
        <w:rPr>
          <w:sz w:val="24"/>
        </w:rPr>
        <w:t>1:1.3</w:t>
      </w:r>
      <w:r>
        <w:rPr>
          <w:rFonts w:hint="eastAsia"/>
          <w:sz w:val="24"/>
        </w:rPr>
        <w:t>确定</w:t>
      </w:r>
      <w:r>
        <w:rPr>
          <w:rFonts w:hint="eastAsia"/>
          <w:b/>
          <w:sz w:val="24"/>
        </w:rPr>
        <w:t>第一类复试名单（见附件2电气学院（全国统考）考生第一类复试名单）</w:t>
      </w:r>
      <w:r>
        <w:rPr>
          <w:rFonts w:hint="eastAsia"/>
          <w:sz w:val="24"/>
        </w:rPr>
        <w:t>，并与本方案同时公布。此名单考生均按第一志愿参加复试。</w:t>
      </w:r>
    </w:p>
    <w:p>
      <w:pPr>
        <w:spacing w:line="360" w:lineRule="auto"/>
        <w:rPr>
          <w:b/>
          <w:sz w:val="24"/>
        </w:rPr>
      </w:pPr>
      <w:r>
        <w:rPr>
          <w:rFonts w:hint="eastAsia"/>
          <w:sz w:val="24"/>
        </w:rPr>
        <w:t>2、</w:t>
      </w:r>
      <w:r>
        <w:rPr>
          <w:rFonts w:hint="eastAsia"/>
          <w:b/>
          <w:sz w:val="24"/>
        </w:rPr>
        <w:t>上学院分数线但是未进入第一类复试名单的考生可申请调整到尚有复试名额余额的研究方向。</w:t>
      </w:r>
      <w:r>
        <w:rPr>
          <w:rFonts w:hint="eastAsia"/>
          <w:sz w:val="24"/>
        </w:rPr>
        <w:t>考生可以填报“电气工程学院上线考生调整研究方向申请表”（附表1），只能填报1个方向。</w:t>
      </w:r>
      <w:r>
        <w:rPr>
          <w:rFonts w:hint="eastAsia"/>
          <w:b/>
          <w:sz w:val="24"/>
        </w:rPr>
        <w:t>工学门类（即研招网报考的学术学位）与工程类别（即研招网报考的专业学位）之间不互相调整。</w:t>
      </w:r>
      <w:r>
        <w:rPr>
          <w:rFonts w:hint="eastAsia"/>
          <w:sz w:val="24"/>
        </w:rPr>
        <w:t>考生若申请调整研究方向并获批准，则在调整后的研究方向对应的二级学科参加复试。</w:t>
      </w:r>
    </w:p>
    <w:p>
      <w:pPr>
        <w:spacing w:line="360" w:lineRule="auto"/>
        <w:ind w:firstLine="482" w:firstLineChars="200"/>
        <w:rPr>
          <w:sz w:val="24"/>
        </w:rPr>
      </w:pPr>
      <w:r>
        <w:rPr>
          <w:rFonts w:hint="eastAsia"/>
          <w:b/>
          <w:sz w:val="24"/>
        </w:rPr>
        <w:t>温馨提示：【1】进入第一类复试名单的考生若</w:t>
      </w:r>
      <w:r>
        <w:rPr>
          <w:rFonts w:hint="eastAsia"/>
          <w:sz w:val="24"/>
        </w:rPr>
        <w:t>申请调整，需填写“电气工程学院上线考生调整研究方向申请表”（附表1），</w:t>
      </w:r>
      <w:r>
        <w:rPr>
          <w:rFonts w:hint="eastAsia"/>
          <w:color w:val="000000"/>
          <w:sz w:val="24"/>
        </w:rPr>
        <w:t>一旦申请</w:t>
      </w:r>
      <w:r>
        <w:rPr>
          <w:rFonts w:hint="eastAsia"/>
          <w:sz w:val="24"/>
        </w:rPr>
        <w:t>调整</w:t>
      </w:r>
      <w:r>
        <w:rPr>
          <w:rFonts w:hint="eastAsia"/>
          <w:color w:val="000000"/>
          <w:sz w:val="24"/>
        </w:rPr>
        <w:t>成功，将不能参加原先在研招网报考的研究方向的复</w:t>
      </w:r>
      <w:r>
        <w:rPr>
          <w:rFonts w:hint="eastAsia"/>
          <w:sz w:val="24"/>
        </w:rPr>
        <w:t>试，而在调整后的研究方向对应的二级学科参加复试。【</w:t>
      </w:r>
      <w:r>
        <w:rPr>
          <w:sz w:val="24"/>
        </w:rPr>
        <w:t>2</w:t>
      </w:r>
      <w:r>
        <w:rPr>
          <w:rFonts w:hint="eastAsia"/>
          <w:sz w:val="24"/>
        </w:rPr>
        <w:t>】学院尚有复试名额余额的类别、方向及数量见附表1。</w:t>
      </w:r>
    </w:p>
    <w:p>
      <w:pPr>
        <w:widowControl/>
        <w:adjustRightInd w:val="0"/>
        <w:snapToGrid w:val="0"/>
        <w:spacing w:line="360" w:lineRule="auto"/>
        <w:ind w:firstLine="454"/>
        <w:jc w:val="left"/>
        <w:rPr>
          <w:sz w:val="24"/>
        </w:rPr>
      </w:pPr>
      <w:r>
        <w:rPr>
          <w:rFonts w:hint="eastAsia"/>
          <w:sz w:val="24"/>
        </w:rPr>
        <w:t>各学科方向复试名单由按初试成绩排序，以第一志愿优先、已成功申请调整的考生为第二志愿的方式确定。</w:t>
      </w:r>
    </w:p>
    <w:p>
      <w:pPr>
        <w:widowControl/>
        <w:tabs>
          <w:tab w:val="left" w:pos="1181"/>
        </w:tabs>
        <w:spacing w:line="360" w:lineRule="auto"/>
        <w:jc w:val="left"/>
        <w:rPr>
          <w:rFonts w:ascii="宋体" w:cs="宋体"/>
          <w:b/>
          <w:bCs/>
          <w:color w:val="000000"/>
          <w:kern w:val="0"/>
          <w:sz w:val="24"/>
          <w:szCs w:val="24"/>
        </w:rPr>
      </w:pPr>
      <w:r>
        <w:rPr>
          <w:rFonts w:hint="eastAsia" w:ascii="宋体" w:cs="宋体"/>
          <w:b/>
          <w:bCs/>
          <w:color w:val="000000"/>
          <w:kern w:val="0"/>
          <w:sz w:val="24"/>
          <w:szCs w:val="24"/>
        </w:rPr>
        <w:t>四、关于调整研究方向的申请</w:t>
      </w:r>
    </w:p>
    <w:p>
      <w:pPr>
        <w:adjustRightInd w:val="0"/>
        <w:snapToGrid w:val="0"/>
        <w:spacing w:line="360" w:lineRule="auto"/>
        <w:ind w:firstLine="480" w:firstLineChars="200"/>
        <w:rPr>
          <w:sz w:val="24"/>
        </w:rPr>
      </w:pPr>
      <w:r>
        <w:rPr>
          <w:rFonts w:hint="eastAsia"/>
          <w:sz w:val="24"/>
        </w:rPr>
        <w:t>考生应于202</w:t>
      </w:r>
      <w:r>
        <w:rPr>
          <w:rFonts w:hint="eastAsia"/>
          <w:sz w:val="24"/>
          <w:lang w:val="en-US" w:eastAsia="zh-CN"/>
        </w:rPr>
        <w:t>1</w:t>
      </w:r>
      <w:r>
        <w:rPr>
          <w:rFonts w:hint="eastAsia"/>
          <w:sz w:val="24"/>
        </w:rPr>
        <w:t>年3月17日下午3:00之前通过电子邮件（eegrs@zju.edu.cn）的方式提交“</w:t>
      </w:r>
      <w:r>
        <w:rPr>
          <w:rFonts w:hint="eastAsia"/>
          <w:b/>
          <w:bCs/>
          <w:sz w:val="24"/>
        </w:rPr>
        <w:t>电气工程学院上线考生调整研究方向申请表”（见附表1）</w:t>
      </w:r>
      <w:r>
        <w:rPr>
          <w:rFonts w:hint="eastAsia"/>
          <w:sz w:val="24"/>
        </w:rPr>
        <w:t>，电气工程学院研究生科将以电子邮件方式回复是否收到申请。有复试名额余额的研究方向根据考生的统考初试成绩择优确定复试资格。调整后的具有复试资格的考生名单（即电气学院（全国统考）考生第二类复试名单）于3月18日15:00之前网上公布。</w:t>
      </w:r>
    </w:p>
    <w:p>
      <w:pPr>
        <w:adjustRightInd w:val="0"/>
        <w:snapToGrid w:val="0"/>
        <w:spacing w:line="360" w:lineRule="auto"/>
        <w:ind w:firstLine="480" w:firstLineChars="200"/>
        <w:rPr>
          <w:sz w:val="24"/>
        </w:rPr>
      </w:pPr>
      <w:r>
        <w:rPr>
          <w:rFonts w:hint="eastAsia"/>
          <w:sz w:val="24"/>
        </w:rPr>
        <w:t>第二类复试名单的考生与第一类复试名单的考生同期在对应的二级学科一起参加复试。</w:t>
      </w:r>
    </w:p>
    <w:p>
      <w:pPr>
        <w:widowControl/>
        <w:tabs>
          <w:tab w:val="left" w:pos="1181"/>
        </w:tabs>
        <w:spacing w:line="360" w:lineRule="auto"/>
        <w:jc w:val="left"/>
        <w:rPr>
          <w:rFonts w:ascii="宋体" w:cs="宋体"/>
          <w:b/>
          <w:bCs/>
          <w:kern w:val="0"/>
          <w:sz w:val="24"/>
          <w:szCs w:val="24"/>
        </w:rPr>
      </w:pPr>
      <w:r>
        <w:rPr>
          <w:rFonts w:hint="eastAsia" w:ascii="宋体" w:cs="宋体"/>
          <w:b/>
          <w:bCs/>
          <w:kern w:val="0"/>
          <w:sz w:val="24"/>
          <w:szCs w:val="24"/>
        </w:rPr>
        <w:t>五、资格审查及学业材料上传</w:t>
      </w:r>
    </w:p>
    <w:p>
      <w:pPr>
        <w:widowControl/>
        <w:spacing w:line="360" w:lineRule="auto"/>
        <w:jc w:val="left"/>
        <w:rPr>
          <w:rFonts w:ascii="宋体" w:cs="宋体"/>
          <w:b/>
          <w:kern w:val="0"/>
          <w:sz w:val="24"/>
          <w:szCs w:val="24"/>
        </w:rPr>
      </w:pPr>
      <w:r>
        <w:rPr>
          <w:rFonts w:hint="eastAsia" w:ascii="宋体" w:cs="宋体"/>
          <w:b/>
          <w:kern w:val="0"/>
          <w:sz w:val="24"/>
          <w:szCs w:val="24"/>
        </w:rPr>
        <w:t>1、资格审查</w:t>
      </w:r>
    </w:p>
    <w:p>
      <w:pPr>
        <w:adjustRightInd w:val="0"/>
        <w:snapToGrid w:val="0"/>
        <w:spacing w:line="360" w:lineRule="auto"/>
        <w:ind w:firstLine="480" w:firstLineChars="200"/>
        <w:jc w:val="left"/>
        <w:rPr>
          <w:sz w:val="24"/>
        </w:rPr>
      </w:pPr>
      <w:r>
        <w:rPr>
          <w:rFonts w:hint="eastAsia"/>
          <w:sz w:val="24"/>
        </w:rPr>
        <w:t>复试前所有考生须在 “钉钉”中上传以下资格审查材料原件的扫描件或照片</w:t>
      </w:r>
      <w:r>
        <w:rPr>
          <w:sz w:val="24"/>
        </w:rPr>
        <w:t>：有效身份证正反面、准考证</w:t>
      </w:r>
      <w:r>
        <w:rPr>
          <w:rFonts w:hint="eastAsia"/>
          <w:sz w:val="24"/>
        </w:rPr>
        <w:t>；应届生上传中国学信网学籍在线验证报告、学生证；</w:t>
      </w:r>
      <w:r>
        <w:rPr>
          <w:sz w:val="24"/>
        </w:rPr>
        <w:t>往届生</w:t>
      </w:r>
      <w:r>
        <w:rPr>
          <w:rFonts w:hint="eastAsia"/>
          <w:sz w:val="24"/>
        </w:rPr>
        <w:t>需上</w:t>
      </w:r>
      <w:r>
        <w:rPr>
          <w:sz w:val="24"/>
        </w:rPr>
        <w:t>传</w:t>
      </w:r>
      <w:r>
        <w:rPr>
          <w:rFonts w:hint="eastAsia"/>
          <w:sz w:val="24"/>
        </w:rPr>
        <w:t>前</w:t>
      </w:r>
      <w:r>
        <w:rPr>
          <w:sz w:val="24"/>
        </w:rPr>
        <w:t>置学历学位证书。</w:t>
      </w:r>
      <w:r>
        <w:rPr>
          <w:rFonts w:hint="eastAsia"/>
          <w:sz w:val="24"/>
        </w:rPr>
        <w:t>资格审查的详细要求见我校研招网“浙江大学关于</w:t>
      </w:r>
      <w:r>
        <w:rPr>
          <w:sz w:val="24"/>
        </w:rPr>
        <w:t>202</w:t>
      </w:r>
      <w:r>
        <w:rPr>
          <w:rFonts w:hint="eastAsia"/>
          <w:sz w:val="24"/>
        </w:rPr>
        <w:t>1</w:t>
      </w:r>
      <w:r>
        <w:rPr>
          <w:sz w:val="24"/>
        </w:rPr>
        <w:t>年硕士研究生招生复试录取相关工作安</w:t>
      </w:r>
      <w:r>
        <w:rPr>
          <w:rFonts w:hint="eastAsia"/>
          <w:sz w:val="24"/>
        </w:rPr>
        <w:t>排”，见以下网页：</w:t>
      </w:r>
    </w:p>
    <w:p>
      <w:pPr>
        <w:adjustRightInd w:val="0"/>
        <w:snapToGrid w:val="0"/>
        <w:spacing w:line="360" w:lineRule="auto"/>
        <w:jc w:val="left"/>
        <w:rPr>
          <w:sz w:val="24"/>
        </w:rPr>
      </w:pPr>
      <w:r>
        <w:rPr>
          <w:rFonts w:hint="eastAsia"/>
          <w:sz w:val="24"/>
        </w:rPr>
        <w:t xml:space="preserve">http://grs.zju.edu.cn/yjszs/redir.php?catalog_id=130678&amp;object_id=231431   </w:t>
      </w:r>
    </w:p>
    <w:p>
      <w:pPr>
        <w:adjustRightInd w:val="0"/>
        <w:snapToGrid w:val="0"/>
        <w:spacing w:line="360" w:lineRule="auto"/>
        <w:ind w:firstLine="480" w:firstLineChars="200"/>
        <w:rPr>
          <w:sz w:val="24"/>
        </w:rPr>
      </w:pPr>
      <w:r>
        <w:rPr>
          <w:rFonts w:hint="eastAsia"/>
          <w:sz w:val="24"/>
        </w:rPr>
        <w:t>未通过资格审查的，不得参加复试。</w:t>
      </w:r>
    </w:p>
    <w:p>
      <w:pPr>
        <w:widowControl/>
        <w:spacing w:line="360" w:lineRule="auto"/>
        <w:jc w:val="left"/>
        <w:rPr>
          <w:rFonts w:ascii="宋体" w:cs="宋体"/>
          <w:b/>
          <w:kern w:val="0"/>
          <w:sz w:val="24"/>
          <w:szCs w:val="24"/>
        </w:rPr>
      </w:pPr>
      <w:r>
        <w:rPr>
          <w:rFonts w:hint="eastAsia" w:ascii="宋体" w:cs="宋体"/>
          <w:b/>
          <w:kern w:val="0"/>
          <w:sz w:val="24"/>
          <w:szCs w:val="24"/>
        </w:rPr>
        <w:t>2、学业材料</w:t>
      </w:r>
    </w:p>
    <w:p>
      <w:pPr>
        <w:adjustRightInd w:val="0"/>
        <w:snapToGrid w:val="0"/>
        <w:spacing w:line="360" w:lineRule="auto"/>
        <w:ind w:firstLine="480" w:firstLineChars="200"/>
        <w:rPr>
          <w:sz w:val="24"/>
        </w:rPr>
      </w:pPr>
      <w:r>
        <w:rPr>
          <w:rFonts w:hint="eastAsia"/>
          <w:sz w:val="24"/>
        </w:rPr>
        <w:t>根据教育部相关要求，为</w:t>
      </w:r>
      <w:r>
        <w:rPr>
          <w:sz w:val="24"/>
        </w:rPr>
        <w:t>加强对考生既往学业、一贯表现、科研能力、综合素质和思想品德等情况的全面考查，请考生提供大学学习成绩单、毕业论文</w:t>
      </w:r>
      <w:r>
        <w:rPr>
          <w:rFonts w:hint="eastAsia"/>
          <w:sz w:val="24"/>
        </w:rPr>
        <w:t>（若有）</w:t>
      </w:r>
      <w:r>
        <w:rPr>
          <w:sz w:val="24"/>
        </w:rPr>
        <w:t>、科研成果等补充材料</w:t>
      </w:r>
      <w:r>
        <w:rPr>
          <w:rFonts w:hint="eastAsia"/>
          <w:sz w:val="24"/>
        </w:rPr>
        <w:t>，通过钉钉上传。</w:t>
      </w:r>
    </w:p>
    <w:p>
      <w:pPr>
        <w:adjustRightInd w:val="0"/>
        <w:snapToGrid w:val="0"/>
        <w:spacing w:line="360" w:lineRule="auto"/>
        <w:ind w:firstLine="482" w:firstLineChars="200"/>
        <w:rPr>
          <w:sz w:val="24"/>
        </w:rPr>
      </w:pPr>
      <w:r>
        <w:rPr>
          <w:rFonts w:hint="eastAsia"/>
          <w:b/>
          <w:sz w:val="24"/>
        </w:rPr>
        <w:t>温馨提示：</w:t>
      </w:r>
      <w:r>
        <w:rPr>
          <w:rFonts w:hint="eastAsia"/>
          <w:sz w:val="24"/>
        </w:rPr>
        <w:t>每位考生建“资格审查材料”文件夹、“学业材料”文件夹各一个，一起打包、上传。</w:t>
      </w:r>
    </w:p>
    <w:p>
      <w:pPr>
        <w:spacing w:line="360" w:lineRule="auto"/>
        <w:rPr>
          <w:rFonts w:ascii="宋体" w:cs="宋体"/>
          <w:b/>
          <w:bCs/>
          <w:color w:val="000000"/>
          <w:kern w:val="0"/>
          <w:sz w:val="24"/>
          <w:szCs w:val="24"/>
        </w:rPr>
      </w:pPr>
      <w:r>
        <w:rPr>
          <w:rFonts w:hint="eastAsia" w:ascii="宋体" w:cs="宋体"/>
          <w:b/>
          <w:bCs/>
          <w:color w:val="000000"/>
          <w:kern w:val="0"/>
          <w:sz w:val="24"/>
          <w:szCs w:val="24"/>
        </w:rPr>
        <w:t>六、复试形式和要求</w:t>
      </w:r>
    </w:p>
    <w:p>
      <w:pPr>
        <w:adjustRightInd w:val="0"/>
        <w:snapToGrid w:val="0"/>
        <w:spacing w:line="360" w:lineRule="auto"/>
        <w:ind w:firstLine="480" w:firstLineChars="200"/>
        <w:rPr>
          <w:sz w:val="24"/>
        </w:rPr>
      </w:pPr>
      <w:r>
        <w:rPr>
          <w:sz w:val="24"/>
        </w:rPr>
        <w:t>为了充分保障师生健康</w:t>
      </w:r>
      <w:r>
        <w:rPr>
          <w:rFonts w:hint="eastAsia"/>
          <w:sz w:val="24"/>
        </w:rPr>
        <w:t>、</w:t>
      </w:r>
      <w:r>
        <w:rPr>
          <w:sz w:val="24"/>
        </w:rPr>
        <w:t>减少人员流动和</w:t>
      </w:r>
      <w:r>
        <w:rPr>
          <w:rFonts w:hint="eastAsia"/>
          <w:sz w:val="24"/>
        </w:rPr>
        <w:t>聚集</w:t>
      </w:r>
      <w:r>
        <w:rPr>
          <w:sz w:val="24"/>
        </w:rPr>
        <w:t>，</w:t>
      </w:r>
      <w:r>
        <w:rPr>
          <w:rFonts w:hint="eastAsia"/>
          <w:sz w:val="24"/>
        </w:rPr>
        <w:t>保障考生的安全，</w:t>
      </w:r>
      <w:r>
        <w:rPr>
          <w:sz w:val="24"/>
        </w:rPr>
        <w:t>复试的</w:t>
      </w:r>
      <w:r>
        <w:rPr>
          <w:rFonts w:hint="eastAsia"/>
          <w:sz w:val="24"/>
        </w:rPr>
        <w:t>组织</w:t>
      </w:r>
      <w:r>
        <w:rPr>
          <w:sz w:val="24"/>
        </w:rPr>
        <w:t>形式</w:t>
      </w:r>
      <w:r>
        <w:rPr>
          <w:rFonts w:hint="eastAsia"/>
          <w:sz w:val="24"/>
        </w:rPr>
        <w:t>为“双机位”网络远程</w:t>
      </w:r>
      <w:r>
        <w:rPr>
          <w:sz w:val="24"/>
        </w:rPr>
        <w:t>复试</w:t>
      </w:r>
      <w:r>
        <w:rPr>
          <w:rFonts w:hint="eastAsia"/>
          <w:sz w:val="24"/>
        </w:rPr>
        <w:t>，以钉钉系统</w:t>
      </w:r>
      <w:r>
        <w:rPr>
          <w:sz w:val="24"/>
        </w:rPr>
        <w:t>作为面试平台。</w:t>
      </w:r>
      <w:r>
        <w:rPr>
          <w:rFonts w:hint="eastAsia"/>
          <w:sz w:val="24"/>
        </w:rPr>
        <w:t>具体的网络远程</w:t>
      </w:r>
      <w:r>
        <w:rPr>
          <w:sz w:val="24"/>
        </w:rPr>
        <w:t>复试</w:t>
      </w:r>
      <w:r>
        <w:rPr>
          <w:rFonts w:hint="eastAsia"/>
          <w:sz w:val="24"/>
        </w:rPr>
        <w:t>流程和要求及考生需做好的准备工作将另行通知。</w:t>
      </w:r>
    </w:p>
    <w:p>
      <w:pPr>
        <w:adjustRightInd w:val="0"/>
        <w:snapToGrid w:val="0"/>
        <w:spacing w:line="360" w:lineRule="auto"/>
        <w:ind w:firstLine="480" w:firstLineChars="200"/>
        <w:rPr>
          <w:sz w:val="24"/>
        </w:rPr>
      </w:pPr>
      <w:r>
        <w:rPr>
          <w:rFonts w:hint="eastAsia"/>
          <w:sz w:val="24"/>
        </w:rPr>
        <w:t>（1）复试面试包括：</w:t>
      </w:r>
      <w:r>
        <w:rPr>
          <w:sz w:val="24"/>
        </w:rPr>
        <w:t>基本政治态度</w:t>
      </w:r>
      <w:r>
        <w:rPr>
          <w:rFonts w:hint="eastAsia"/>
          <w:sz w:val="24"/>
        </w:rPr>
        <w:t>、</w:t>
      </w:r>
      <w:r>
        <w:rPr>
          <w:sz w:val="24"/>
        </w:rPr>
        <w:t>道德品质，</w:t>
      </w:r>
      <w:r>
        <w:rPr>
          <w:rFonts w:hint="eastAsia"/>
          <w:sz w:val="24"/>
        </w:rPr>
        <w:t>相关专业知识的掌握、</w:t>
      </w:r>
      <w:r>
        <w:rPr>
          <w:sz w:val="24"/>
        </w:rPr>
        <w:t>综合应用知识的能力及相关业绩</w:t>
      </w:r>
      <w:r>
        <w:rPr>
          <w:rFonts w:hint="eastAsia"/>
          <w:sz w:val="24"/>
        </w:rPr>
        <w:t>等，以及英语能力。</w:t>
      </w:r>
    </w:p>
    <w:p>
      <w:pPr>
        <w:adjustRightInd w:val="0"/>
        <w:snapToGrid w:val="0"/>
        <w:spacing w:line="360" w:lineRule="auto"/>
        <w:ind w:firstLine="480" w:firstLineChars="200"/>
        <w:rPr>
          <w:sz w:val="24"/>
        </w:rPr>
      </w:pPr>
      <w:r>
        <w:rPr>
          <w:rFonts w:hint="eastAsia"/>
          <w:sz w:val="24"/>
        </w:rPr>
        <w:t>（2）每生面试时间不少于20分钟。</w:t>
      </w:r>
    </w:p>
    <w:p>
      <w:pPr>
        <w:adjustRightInd w:val="0"/>
        <w:snapToGrid w:val="0"/>
        <w:spacing w:line="360" w:lineRule="auto"/>
        <w:ind w:firstLine="480" w:firstLineChars="200"/>
        <w:rPr>
          <w:sz w:val="24"/>
        </w:rPr>
      </w:pPr>
      <w:r>
        <w:rPr>
          <w:rFonts w:hint="eastAsia"/>
          <w:sz w:val="24"/>
        </w:rPr>
        <w:t>（3）复试满分100分，包括专业综合技能面试成绩（80分）及英语能力面试成绩（20分）。复试成绩占综合成绩的30％。</w:t>
      </w:r>
    </w:p>
    <w:p>
      <w:pPr>
        <w:widowControl/>
        <w:tabs>
          <w:tab w:val="left" w:pos="1181"/>
        </w:tabs>
        <w:spacing w:line="360" w:lineRule="auto"/>
        <w:jc w:val="left"/>
        <w:rPr>
          <w:rFonts w:ascii="宋体" w:cs="宋体"/>
          <w:b/>
          <w:color w:val="040404"/>
          <w:kern w:val="0"/>
          <w:sz w:val="24"/>
          <w:szCs w:val="24"/>
        </w:rPr>
      </w:pPr>
      <w:r>
        <w:rPr>
          <w:rFonts w:hint="eastAsia" w:ascii="宋体" w:cs="宋体"/>
          <w:b/>
          <w:color w:val="040404"/>
          <w:kern w:val="0"/>
          <w:sz w:val="24"/>
          <w:szCs w:val="24"/>
        </w:rPr>
        <w:t>七、复试日期</w:t>
      </w:r>
    </w:p>
    <w:p>
      <w:pPr>
        <w:adjustRightInd w:val="0"/>
        <w:snapToGrid w:val="0"/>
        <w:spacing w:line="360" w:lineRule="auto"/>
        <w:ind w:firstLine="480" w:firstLineChars="200"/>
        <w:rPr>
          <w:color w:val="FF0000"/>
          <w:sz w:val="24"/>
        </w:rPr>
      </w:pPr>
      <w:r>
        <w:rPr>
          <w:rFonts w:hint="eastAsia"/>
          <w:sz w:val="24"/>
        </w:rPr>
        <w:t>复试日期：202</w:t>
      </w:r>
      <w:r>
        <w:rPr>
          <w:rFonts w:hint="eastAsia"/>
          <w:sz w:val="24"/>
          <w:lang w:val="en-US" w:eastAsia="zh-CN"/>
        </w:rPr>
        <w:t>1</w:t>
      </w:r>
      <w:r>
        <w:rPr>
          <w:rFonts w:hint="eastAsia"/>
          <w:sz w:val="24"/>
        </w:rPr>
        <w:t>年3月21~25日，详情请关注网页。</w:t>
      </w:r>
    </w:p>
    <w:p>
      <w:pPr>
        <w:widowControl/>
        <w:tabs>
          <w:tab w:val="left" w:pos="1181"/>
        </w:tabs>
        <w:spacing w:line="360" w:lineRule="auto"/>
        <w:jc w:val="left"/>
        <w:rPr>
          <w:rFonts w:ascii="宋体" w:cs="宋体"/>
          <w:b/>
          <w:bCs/>
          <w:kern w:val="0"/>
          <w:sz w:val="24"/>
          <w:szCs w:val="24"/>
        </w:rPr>
      </w:pPr>
      <w:r>
        <w:rPr>
          <w:rFonts w:hint="eastAsia" w:ascii="宋体" w:cs="宋体"/>
          <w:b/>
          <w:kern w:val="0"/>
          <w:sz w:val="24"/>
          <w:szCs w:val="24"/>
        </w:rPr>
        <w:t>八</w:t>
      </w:r>
      <w:r>
        <w:rPr>
          <w:rFonts w:ascii="宋体" w:cs="宋体"/>
          <w:b/>
          <w:bCs/>
          <w:kern w:val="0"/>
          <w:sz w:val="24"/>
          <w:szCs w:val="24"/>
        </w:rPr>
        <w:t>、</w:t>
      </w:r>
      <w:r>
        <w:rPr>
          <w:rFonts w:hint="eastAsia" w:ascii="宋体" w:cs="宋体"/>
          <w:b/>
          <w:bCs/>
          <w:kern w:val="0"/>
          <w:sz w:val="24"/>
          <w:szCs w:val="24"/>
        </w:rPr>
        <w:t>录取</w:t>
      </w:r>
    </w:p>
    <w:p>
      <w:pPr>
        <w:adjustRightInd w:val="0"/>
        <w:snapToGrid w:val="0"/>
        <w:spacing w:line="360" w:lineRule="auto"/>
        <w:ind w:firstLine="480" w:firstLineChars="200"/>
        <w:rPr>
          <w:sz w:val="24"/>
        </w:rPr>
      </w:pPr>
      <w:r>
        <w:rPr>
          <w:rFonts w:hint="eastAsia"/>
          <w:sz w:val="24"/>
        </w:rPr>
        <w:t>根据招生录取</w:t>
      </w:r>
      <w:r>
        <w:rPr>
          <w:sz w:val="24"/>
        </w:rPr>
        <w:t>方案，综合考生的思想政治素质和品德考核情况、统考初试和复试面试成绩择优确定拟录取名单</w:t>
      </w:r>
      <w:r>
        <w:rPr>
          <w:rFonts w:hint="eastAsia"/>
          <w:sz w:val="24"/>
        </w:rPr>
        <w:t>。</w:t>
      </w:r>
    </w:p>
    <w:p>
      <w:pPr>
        <w:adjustRightInd w:val="0"/>
        <w:snapToGrid w:val="0"/>
        <w:spacing w:line="360" w:lineRule="auto"/>
        <w:ind w:firstLine="480" w:firstLineChars="200"/>
        <w:rPr>
          <w:sz w:val="24"/>
        </w:rPr>
      </w:pPr>
      <w:r>
        <w:rPr>
          <w:rFonts w:hint="eastAsia"/>
          <w:sz w:val="24"/>
        </w:rPr>
        <w:t>（1）综合成绩计算办法：</w:t>
      </w:r>
    </w:p>
    <w:p>
      <w:pPr>
        <w:adjustRightInd w:val="0"/>
        <w:snapToGrid w:val="0"/>
        <w:spacing w:line="360" w:lineRule="auto"/>
        <w:ind w:firstLine="480" w:firstLineChars="200"/>
        <w:rPr>
          <w:sz w:val="24"/>
        </w:rPr>
      </w:pPr>
      <w:r>
        <w:rPr>
          <w:rFonts w:hint="eastAsia"/>
          <w:sz w:val="24"/>
        </w:rPr>
        <w:t>综合成绩</w:t>
      </w:r>
      <w:r>
        <w:rPr>
          <w:sz w:val="24"/>
        </w:rPr>
        <w:t>＝ 0.</w:t>
      </w:r>
      <w:r>
        <w:rPr>
          <w:rFonts w:hint="eastAsia"/>
          <w:sz w:val="24"/>
        </w:rPr>
        <w:t>7</w:t>
      </w:r>
      <w:r>
        <w:rPr>
          <w:sz w:val="24"/>
        </w:rPr>
        <w:t xml:space="preserve"> × </w:t>
      </w:r>
      <w:r>
        <w:rPr>
          <w:rFonts w:hint="eastAsia"/>
          <w:sz w:val="24"/>
        </w:rPr>
        <w:t>(</w:t>
      </w:r>
      <w:r>
        <w:rPr>
          <w:sz w:val="24"/>
        </w:rPr>
        <w:t>(统考初试</w:t>
      </w:r>
      <w:r>
        <w:rPr>
          <w:rFonts w:hint="eastAsia"/>
          <w:sz w:val="24"/>
        </w:rPr>
        <w:t>成绩-“总高单低”政策相应扣减分)</w:t>
      </w:r>
      <w:r>
        <w:rPr>
          <w:sz w:val="24"/>
        </w:rPr>
        <w:t>/5</w:t>
      </w:r>
      <w:r>
        <w:rPr>
          <w:rFonts w:hint="eastAsia"/>
          <w:sz w:val="24"/>
        </w:rPr>
        <w:t>)</w:t>
      </w:r>
      <w:r>
        <w:rPr>
          <w:sz w:val="24"/>
        </w:rPr>
        <w:t xml:space="preserve"> + </w:t>
      </w:r>
      <w:r>
        <w:rPr>
          <w:rFonts w:hint="eastAsia"/>
          <w:sz w:val="24"/>
        </w:rPr>
        <w:t>0.3</w:t>
      </w:r>
      <w:r>
        <w:rPr>
          <w:sz w:val="24"/>
        </w:rPr>
        <w:t>×复试</w:t>
      </w:r>
      <w:r>
        <w:rPr>
          <w:rFonts w:hint="eastAsia"/>
          <w:sz w:val="24"/>
        </w:rPr>
        <w:t>成绩。</w:t>
      </w:r>
    </w:p>
    <w:p>
      <w:pPr>
        <w:adjustRightInd w:val="0"/>
        <w:snapToGrid w:val="0"/>
        <w:spacing w:line="360" w:lineRule="auto"/>
        <w:ind w:firstLine="480" w:firstLineChars="200"/>
        <w:rPr>
          <w:sz w:val="24"/>
        </w:rPr>
      </w:pPr>
      <w:r>
        <w:rPr>
          <w:rFonts w:hint="eastAsia"/>
          <w:sz w:val="24"/>
        </w:rPr>
        <w:t>（2）录取：各研究方向按第一志愿优先，依综合成绩排序录取，综合成绩并列时以统考初试总成绩排序，若仍然并列按政治数学英语三门课成绩之和排序。其中：</w:t>
      </w:r>
    </w:p>
    <w:p>
      <w:pPr>
        <w:adjustRightInd w:val="0"/>
        <w:snapToGrid w:val="0"/>
        <w:spacing w:line="360" w:lineRule="auto"/>
        <w:ind w:firstLine="480" w:firstLineChars="200"/>
        <w:rPr>
          <w:sz w:val="24"/>
        </w:rPr>
      </w:pPr>
      <w:r>
        <w:rPr>
          <w:rFonts w:hint="eastAsia"/>
          <w:sz w:val="24"/>
        </w:rPr>
        <w:t>（i）复试成绩低于60分者不予录取。</w:t>
      </w:r>
    </w:p>
    <w:p>
      <w:pPr>
        <w:adjustRightInd w:val="0"/>
        <w:snapToGrid w:val="0"/>
        <w:spacing w:line="360" w:lineRule="auto"/>
        <w:ind w:firstLine="480" w:firstLineChars="200"/>
        <w:rPr>
          <w:color w:val="FF0000"/>
          <w:sz w:val="24"/>
        </w:rPr>
      </w:pPr>
      <w:r>
        <w:rPr>
          <w:rFonts w:hint="eastAsia"/>
          <w:sz w:val="24"/>
        </w:rPr>
        <w:t>（ii）思想品德（包括政治态度、思想表现、道德品质、遵纪守法、诚实守信等方面）考核不合格者不予录取。</w:t>
      </w:r>
    </w:p>
    <w:p>
      <w:pPr>
        <w:widowControl/>
        <w:adjustRightInd w:val="0"/>
        <w:snapToGrid w:val="0"/>
        <w:spacing w:line="360" w:lineRule="auto"/>
        <w:ind w:firstLine="480" w:firstLineChars="200"/>
        <w:jc w:val="left"/>
        <w:rPr>
          <w:sz w:val="24"/>
        </w:rPr>
      </w:pPr>
      <w:r>
        <w:rPr>
          <w:rFonts w:hint="eastAsia"/>
          <w:sz w:val="24"/>
        </w:rPr>
        <w:t>经学院研究生招生部门审核后，拟录取名单在学院网上公示并报研究生院。</w:t>
      </w:r>
    </w:p>
    <w:p>
      <w:pPr>
        <w:widowControl/>
        <w:adjustRightInd w:val="0"/>
        <w:snapToGrid w:val="0"/>
        <w:spacing w:line="360" w:lineRule="auto"/>
        <w:ind w:firstLine="480" w:firstLineChars="200"/>
        <w:jc w:val="left"/>
        <w:rPr>
          <w:sz w:val="24"/>
        </w:rPr>
      </w:pPr>
    </w:p>
    <w:p>
      <w:pPr>
        <w:widowControl/>
        <w:tabs>
          <w:tab w:val="left" w:pos="1181"/>
        </w:tabs>
        <w:spacing w:line="360" w:lineRule="auto"/>
        <w:jc w:val="left"/>
        <w:rPr>
          <w:rFonts w:ascii="宋体" w:cs="宋体"/>
          <w:b/>
          <w:bCs/>
          <w:color w:val="000000"/>
          <w:kern w:val="0"/>
          <w:sz w:val="24"/>
          <w:szCs w:val="24"/>
        </w:rPr>
      </w:pPr>
      <w:r>
        <w:rPr>
          <w:rFonts w:hint="eastAsia" w:ascii="宋体" w:cs="宋体"/>
          <w:b/>
          <w:bCs/>
          <w:color w:val="000000"/>
          <w:kern w:val="0"/>
          <w:sz w:val="24"/>
          <w:szCs w:val="24"/>
        </w:rPr>
        <w:t>九.体检</w:t>
      </w:r>
    </w:p>
    <w:p>
      <w:pPr>
        <w:widowControl/>
        <w:adjustRightInd w:val="0"/>
        <w:snapToGrid w:val="0"/>
        <w:spacing w:line="360" w:lineRule="auto"/>
        <w:ind w:firstLine="480" w:firstLineChars="200"/>
        <w:jc w:val="left"/>
        <w:rPr>
          <w:sz w:val="24"/>
        </w:rPr>
      </w:pPr>
      <w:r>
        <w:rPr>
          <w:rFonts w:hint="eastAsia"/>
          <w:sz w:val="24"/>
        </w:rPr>
        <w:t>根据教育部相关规定，</w:t>
      </w:r>
      <w:r>
        <w:rPr>
          <w:sz w:val="24"/>
        </w:rPr>
        <w:t>考生复试期间暂不体检。考生被</w:t>
      </w:r>
      <w:r>
        <w:rPr>
          <w:rFonts w:hint="eastAsia"/>
          <w:sz w:val="24"/>
        </w:rPr>
        <w:t>我</w:t>
      </w:r>
      <w:r>
        <w:rPr>
          <w:sz w:val="24"/>
        </w:rPr>
        <w:t>院拟录取后自行去当地</w:t>
      </w:r>
      <w:r>
        <w:rPr>
          <w:rFonts w:hint="eastAsia"/>
          <w:sz w:val="24"/>
        </w:rPr>
        <w:t>二</w:t>
      </w:r>
      <w:r>
        <w:rPr>
          <w:sz w:val="24"/>
        </w:rPr>
        <w:t>甲及以上医院体检并将体检表于4月15日</w:t>
      </w:r>
      <w:r>
        <w:rPr>
          <w:rFonts w:hint="eastAsia"/>
          <w:sz w:val="24"/>
        </w:rPr>
        <w:t>前寄我院</w:t>
      </w:r>
      <w:r>
        <w:rPr>
          <w:sz w:val="24"/>
        </w:rPr>
        <w:t>。体检不合格者不予录取</w:t>
      </w:r>
      <w:r>
        <w:rPr>
          <w:rFonts w:hint="eastAsia"/>
          <w:sz w:val="24"/>
        </w:rPr>
        <w:t>。</w:t>
      </w:r>
      <w:r>
        <w:rPr>
          <w:sz w:val="24"/>
        </w:rPr>
        <w:t>体检标准参照教育部、</w:t>
      </w:r>
      <w:r>
        <w:rPr>
          <w:rFonts w:hint="eastAsia"/>
          <w:sz w:val="24"/>
        </w:rPr>
        <w:t>原</w:t>
      </w:r>
      <w:r>
        <w:rPr>
          <w:sz w:val="24"/>
        </w:rPr>
        <w:t>卫生部、中国残联印发的《普通高等学校招生体检工作指导意见》（教学〔2003〕3号）、《教育部办公厅卫生部办公厅关于普通高等学校招生学生入学身体检查取消乙肝项目检测有关问题的通知》（教学厅〔2010〕2号）文件执行。</w:t>
      </w:r>
      <w:r>
        <w:rPr>
          <w:rFonts w:hint="eastAsia"/>
          <w:sz w:val="24"/>
        </w:rPr>
        <w:t>如有特殊情况考生须及时与我院联系。</w:t>
      </w:r>
    </w:p>
    <w:p>
      <w:pPr>
        <w:widowControl/>
        <w:adjustRightInd w:val="0"/>
        <w:snapToGrid w:val="0"/>
        <w:spacing w:line="360" w:lineRule="auto"/>
        <w:ind w:firstLine="480" w:firstLineChars="200"/>
        <w:jc w:val="left"/>
        <w:rPr>
          <w:sz w:val="24"/>
        </w:rPr>
      </w:pPr>
    </w:p>
    <w:p>
      <w:pPr>
        <w:widowControl/>
        <w:tabs>
          <w:tab w:val="left" w:pos="1181"/>
        </w:tabs>
        <w:spacing w:line="360" w:lineRule="auto"/>
        <w:jc w:val="left"/>
        <w:rPr>
          <w:rFonts w:ascii="宋体" w:cs="宋体"/>
          <w:b/>
          <w:color w:val="040404"/>
          <w:kern w:val="0"/>
          <w:sz w:val="24"/>
          <w:szCs w:val="24"/>
        </w:rPr>
      </w:pPr>
      <w:r>
        <w:rPr>
          <w:rFonts w:hint="eastAsia" w:ascii="宋体" w:cs="宋体"/>
          <w:b/>
          <w:color w:val="040404"/>
          <w:kern w:val="0"/>
          <w:sz w:val="24"/>
          <w:szCs w:val="24"/>
        </w:rPr>
        <w:t>十、其他</w:t>
      </w:r>
    </w:p>
    <w:p>
      <w:pPr>
        <w:widowControl/>
        <w:adjustRightInd w:val="0"/>
        <w:snapToGrid w:val="0"/>
        <w:spacing w:line="360" w:lineRule="auto"/>
        <w:ind w:firstLine="480" w:firstLineChars="200"/>
        <w:jc w:val="left"/>
        <w:rPr>
          <w:rFonts w:ascii="宋体" w:cs="宋体"/>
          <w:color w:val="040404"/>
          <w:kern w:val="0"/>
          <w:sz w:val="24"/>
          <w:szCs w:val="24"/>
        </w:rPr>
      </w:pPr>
      <w:r>
        <w:rPr>
          <w:rFonts w:hint="eastAsia"/>
          <w:sz w:val="24"/>
        </w:rPr>
        <w:t>未尽事宜按“浙江大学做好2021年硕士研究生招生录取工作的通知”、学院研究生招生工作领导小组集体商议决定。</w:t>
      </w:r>
    </w:p>
    <w:p>
      <w:pPr>
        <w:widowControl/>
        <w:tabs>
          <w:tab w:val="left" w:pos="1181"/>
        </w:tabs>
        <w:spacing w:line="360" w:lineRule="auto"/>
        <w:ind w:firstLine="480"/>
        <w:jc w:val="left"/>
        <w:rPr>
          <w:rFonts w:ascii="宋体" w:cs="宋体"/>
          <w:color w:val="040404"/>
          <w:kern w:val="0"/>
          <w:sz w:val="24"/>
          <w:szCs w:val="24"/>
        </w:rPr>
      </w:pPr>
    </w:p>
    <w:p>
      <w:pPr>
        <w:widowControl/>
        <w:tabs>
          <w:tab w:val="left" w:pos="1181"/>
        </w:tabs>
        <w:spacing w:line="360" w:lineRule="auto"/>
        <w:ind w:firstLine="480"/>
        <w:jc w:val="left"/>
        <w:rPr>
          <w:rFonts w:ascii="宋体" w:cs="宋体"/>
          <w:color w:val="040404"/>
          <w:kern w:val="0"/>
          <w:sz w:val="24"/>
          <w:szCs w:val="24"/>
        </w:rPr>
      </w:pPr>
    </w:p>
    <w:p>
      <w:pPr>
        <w:widowControl/>
        <w:tabs>
          <w:tab w:val="left" w:pos="1181"/>
        </w:tabs>
        <w:spacing w:line="360" w:lineRule="auto"/>
        <w:ind w:firstLine="4382" w:firstLineChars="1826"/>
        <w:jc w:val="left"/>
        <w:rPr>
          <w:rFonts w:ascii="宋体" w:cs="宋体"/>
          <w:color w:val="040404"/>
          <w:kern w:val="0"/>
          <w:sz w:val="24"/>
          <w:szCs w:val="24"/>
        </w:rPr>
      </w:pPr>
      <w:r>
        <w:rPr>
          <w:rFonts w:hint="eastAsia" w:ascii="宋体" w:cs="宋体"/>
          <w:color w:val="040404"/>
          <w:kern w:val="0"/>
          <w:sz w:val="24"/>
          <w:szCs w:val="24"/>
        </w:rPr>
        <w:t xml:space="preserve"> 浙江大学电气工程学院</w:t>
      </w:r>
    </w:p>
    <w:p>
      <w:pPr>
        <w:widowControl/>
        <w:tabs>
          <w:tab w:val="left" w:pos="1181"/>
        </w:tabs>
        <w:spacing w:line="360" w:lineRule="auto"/>
        <w:ind w:firstLine="480"/>
        <w:jc w:val="left"/>
        <w:rPr>
          <w:rFonts w:ascii="宋体" w:cs="宋体"/>
          <w:color w:val="040404"/>
          <w:kern w:val="0"/>
          <w:sz w:val="24"/>
          <w:szCs w:val="24"/>
        </w:rPr>
      </w:pPr>
      <w:r>
        <w:rPr>
          <w:rFonts w:hint="eastAsia" w:ascii="宋体" w:cs="宋体"/>
          <w:color w:val="040404"/>
          <w:kern w:val="0"/>
          <w:sz w:val="24"/>
          <w:szCs w:val="24"/>
        </w:rPr>
        <w:t xml:space="preserve">                                  2021年3月15日</w:t>
      </w:r>
    </w:p>
    <w:p>
      <w:pPr>
        <w:widowControl/>
        <w:jc w:val="left"/>
        <w:rPr>
          <w:rFonts w:ascii="宋体" w:cs="宋体"/>
          <w:b/>
          <w:bCs/>
          <w:color w:val="000000"/>
          <w:kern w:val="0"/>
          <w:sz w:val="28"/>
          <w:szCs w:val="28"/>
        </w:rPr>
      </w:pPr>
      <w:r>
        <w:rPr>
          <w:rFonts w:ascii="宋体" w:cs="宋体"/>
          <w:b/>
          <w:bCs/>
          <w:color w:val="000000"/>
          <w:kern w:val="0"/>
          <w:sz w:val="28"/>
          <w:szCs w:val="28"/>
        </w:rPr>
        <w:br w:type="page"/>
      </w:r>
    </w:p>
    <w:p>
      <w:pPr>
        <w:widowControl/>
        <w:jc w:val="left"/>
        <w:rPr>
          <w:rFonts w:ascii="宋体" w:cs="宋体"/>
          <w:b/>
          <w:bCs/>
          <w:color w:val="000000"/>
          <w:kern w:val="0"/>
          <w:sz w:val="28"/>
          <w:szCs w:val="28"/>
        </w:rPr>
      </w:pPr>
      <w:r>
        <w:rPr>
          <w:rFonts w:hint="eastAsia" w:ascii="宋体" w:cs="宋体"/>
          <w:b/>
          <w:bCs/>
          <w:color w:val="000000"/>
          <w:kern w:val="0"/>
          <w:sz w:val="28"/>
          <w:szCs w:val="28"/>
        </w:rPr>
        <w:t>附表1 电气工程学院上线考生调整研究方向申请表</w:t>
      </w:r>
    </w:p>
    <w:tbl>
      <w:tblPr>
        <w:tblStyle w:val="12"/>
        <w:tblpPr w:leftFromText="180" w:rightFromText="180" w:vertAnchor="text" w:horzAnchor="page" w:tblpX="1282" w:tblpY="365"/>
        <w:tblOverlap w:val="never"/>
        <w:tblW w:w="9405" w:type="dxa"/>
        <w:tblInd w:w="0" w:type="dxa"/>
        <w:tblLayout w:type="fixed"/>
        <w:tblCellMar>
          <w:top w:w="0" w:type="dxa"/>
          <w:left w:w="0" w:type="dxa"/>
          <w:bottom w:w="0" w:type="dxa"/>
          <w:right w:w="0" w:type="dxa"/>
        </w:tblCellMar>
      </w:tblPr>
      <w:tblGrid>
        <w:gridCol w:w="1080"/>
        <w:gridCol w:w="778"/>
        <w:gridCol w:w="302"/>
        <w:gridCol w:w="245"/>
        <w:gridCol w:w="835"/>
        <w:gridCol w:w="1150"/>
        <w:gridCol w:w="303"/>
        <w:gridCol w:w="122"/>
        <w:gridCol w:w="270"/>
        <w:gridCol w:w="1451"/>
        <w:gridCol w:w="529"/>
        <w:gridCol w:w="180"/>
        <w:gridCol w:w="900"/>
        <w:gridCol w:w="1260"/>
      </w:tblGrid>
      <w:tr>
        <w:tblPrEx>
          <w:tblCellMar>
            <w:top w:w="0" w:type="dxa"/>
            <w:left w:w="0" w:type="dxa"/>
            <w:bottom w:w="0" w:type="dxa"/>
            <w:right w:w="0"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b/>
                <w:color w:val="000000"/>
                <w:sz w:val="22"/>
              </w:rPr>
            </w:pPr>
            <w:r>
              <w:rPr>
                <w:rFonts w:hint="eastAsia" w:ascii="宋体" w:cs="宋体"/>
                <w:b/>
                <w:color w:val="000000"/>
                <w:kern w:val="0"/>
                <w:sz w:val="22"/>
              </w:rPr>
              <w:t>考生基本情况</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姓名</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准考证号码</w:t>
            </w:r>
          </w:p>
        </w:tc>
        <w:tc>
          <w:tcPr>
            <w:tcW w:w="4712"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性别</w:t>
            </w:r>
          </w:p>
        </w:tc>
        <w:tc>
          <w:tcPr>
            <w:tcW w:w="13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手机号码</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cs="宋体"/>
                <w:color w:val="000000"/>
                <w:sz w:val="22"/>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邮箱</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3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原报考专业</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原报考专业研究方向</w:t>
            </w:r>
          </w:p>
        </w:tc>
        <w:tc>
          <w:tcPr>
            <w:tcW w:w="28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r>
      <w:tr>
        <w:tblPrEx>
          <w:tblCellMar>
            <w:top w:w="0" w:type="dxa"/>
            <w:left w:w="0" w:type="dxa"/>
            <w:bottom w:w="0" w:type="dxa"/>
            <w:right w:w="0"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cs="宋体"/>
                <w:color w:val="000000"/>
                <w:kern w:val="0"/>
                <w:sz w:val="22"/>
              </w:rPr>
            </w:pPr>
            <w:r>
              <w:rPr>
                <w:rFonts w:hint="eastAsia" w:ascii="宋体" w:cs="宋体"/>
                <w:color w:val="000000"/>
                <w:kern w:val="0"/>
                <w:sz w:val="22"/>
              </w:rPr>
              <w:t>统考初</w:t>
            </w:r>
          </w:p>
          <w:p>
            <w:pPr>
              <w:widowControl/>
              <w:jc w:val="center"/>
              <w:textAlignment w:val="center"/>
              <w:rPr>
                <w:rFonts w:ascii="宋体" w:cs="宋体"/>
                <w:color w:val="000000"/>
                <w:sz w:val="22"/>
              </w:rPr>
            </w:pPr>
            <w:r>
              <w:rPr>
                <w:rFonts w:hint="eastAsia" w:ascii="宋体" w:cs="宋体"/>
                <w:color w:val="000000"/>
                <w:kern w:val="0"/>
                <w:sz w:val="22"/>
              </w:rPr>
              <w:t>试总分</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cs="宋体"/>
                <w:color w:val="000000"/>
                <w:sz w:val="22"/>
              </w:rPr>
            </w:pPr>
          </w:p>
        </w:tc>
        <w:tc>
          <w:tcPr>
            <w:tcW w:w="1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政治分数</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外语分数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tc>
        <w:tc>
          <w:tcPr>
            <w:tcW w:w="1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数学分数</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cs="宋体"/>
                <w:color w:val="000000"/>
                <w:kern w:val="0"/>
                <w:sz w:val="22"/>
              </w:rPr>
              <w:t>专业基础课分数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cs="宋体"/>
                <w:color w:val="000000"/>
                <w:sz w:val="22"/>
              </w:rPr>
            </w:pPr>
          </w:p>
        </w:tc>
      </w:tr>
      <w:tr>
        <w:tblPrEx>
          <w:tblCellMar>
            <w:top w:w="0" w:type="dxa"/>
            <w:left w:w="0" w:type="dxa"/>
            <w:bottom w:w="0" w:type="dxa"/>
            <w:right w:w="0" w:type="dxa"/>
          </w:tblCellMar>
        </w:tblPrEx>
        <w:trPr>
          <w:trHeight w:val="540" w:hRule="atLeast"/>
        </w:trPr>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textAlignment w:val="center"/>
              <w:rPr>
                <w:rFonts w:ascii="宋体" w:cs="宋体"/>
                <w:b/>
                <w:color w:val="000000"/>
                <w:sz w:val="22"/>
              </w:rPr>
            </w:pPr>
            <w:r>
              <w:rPr>
                <w:rFonts w:hint="eastAsia" w:ascii="宋体" w:cs="宋体"/>
                <w:color w:val="000000"/>
                <w:kern w:val="0"/>
                <w:sz w:val="22"/>
              </w:rPr>
              <w:t>可供申请调整的研究方向</w:t>
            </w:r>
          </w:p>
        </w:tc>
        <w:tc>
          <w:tcPr>
            <w:tcW w:w="8325"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beforeAutospacing="1" w:afterAutospacing="1"/>
              <w:rPr>
                <w:rFonts w:ascii="宋体" w:cs="宋体"/>
                <w:sz w:val="22"/>
              </w:rPr>
            </w:pPr>
            <w:r>
              <w:rPr>
                <w:rFonts w:hint="eastAsia" w:ascii="宋体" w:cs="宋体"/>
                <w:kern w:val="0"/>
                <w:sz w:val="22"/>
              </w:rPr>
              <w:t>复试名额有余额的研究方向</w:t>
            </w:r>
            <w:r>
              <w:rPr>
                <w:rFonts w:hint="eastAsia" w:ascii="宋体" w:cs="宋体"/>
                <w:kern w:val="0"/>
                <w:sz w:val="18"/>
                <w:szCs w:val="18"/>
              </w:rPr>
              <w:t>（具体考生可对照第一类复试名单与本方案招生计划）：</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832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kern w:val="0"/>
                <w:sz w:val="22"/>
              </w:rPr>
            </w:pPr>
            <w:r>
              <w:rPr>
                <w:rFonts w:hint="eastAsia" w:ascii="宋体" w:cs="宋体"/>
                <w:color w:val="000000"/>
                <w:kern w:val="0"/>
                <w:sz w:val="22"/>
              </w:rPr>
              <w:t>1、电气工程（0808）电工理论与新技术方向（复试名额余额2名）</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832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kern w:val="0"/>
                <w:sz w:val="22"/>
              </w:rPr>
            </w:pPr>
            <w:r>
              <w:rPr>
                <w:rFonts w:ascii="宋体" w:cs="宋体"/>
                <w:color w:val="000000"/>
                <w:kern w:val="0"/>
                <w:sz w:val="22"/>
              </w:rPr>
              <w:t>2</w:t>
            </w:r>
            <w:r>
              <w:rPr>
                <w:rFonts w:hint="eastAsia" w:ascii="宋体" w:cs="宋体"/>
                <w:color w:val="000000"/>
                <w:kern w:val="0"/>
                <w:sz w:val="22"/>
              </w:rPr>
              <w:t>、电气工程（0808）电机与电器方向（复试名额余额</w:t>
            </w:r>
            <w:r>
              <w:rPr>
                <w:rFonts w:ascii="宋体" w:cs="宋体"/>
                <w:color w:val="000000"/>
                <w:kern w:val="0"/>
                <w:sz w:val="22"/>
              </w:rPr>
              <w:t>1</w:t>
            </w:r>
            <w:r>
              <w:rPr>
                <w:rFonts w:hint="eastAsia" w:ascii="宋体" w:cs="宋体"/>
                <w:color w:val="000000"/>
                <w:kern w:val="0"/>
                <w:sz w:val="22"/>
              </w:rPr>
              <w:t>名）</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832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kern w:val="0"/>
                <w:sz w:val="22"/>
              </w:rPr>
            </w:pPr>
            <w:r>
              <w:rPr>
                <w:rFonts w:hint="eastAsia" w:ascii="宋体" w:cs="宋体"/>
                <w:color w:val="000000"/>
                <w:kern w:val="0"/>
                <w:sz w:val="22"/>
              </w:rPr>
              <w:t>3、电气工程（0808）电气信息技术方向（复试名额余额1名）</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832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cs="宋体"/>
                <w:color w:val="000000"/>
                <w:kern w:val="0"/>
                <w:sz w:val="22"/>
              </w:rPr>
              <w:t>4、控制理论与控制工程（081101）（复试名额余额</w:t>
            </w:r>
            <w:r>
              <w:rPr>
                <w:rFonts w:ascii="宋体" w:cs="宋体"/>
                <w:color w:val="000000"/>
                <w:kern w:val="0"/>
                <w:sz w:val="22"/>
              </w:rPr>
              <w:t>3</w:t>
            </w:r>
            <w:r>
              <w:rPr>
                <w:rFonts w:hint="eastAsia" w:ascii="宋体" w:cs="宋体"/>
                <w:color w:val="000000"/>
                <w:kern w:val="0"/>
                <w:sz w:val="22"/>
              </w:rPr>
              <w:t>名）</w:t>
            </w:r>
          </w:p>
        </w:tc>
      </w:tr>
      <w:tr>
        <w:tblPrEx>
          <w:tblCellMar>
            <w:top w:w="0" w:type="dxa"/>
            <w:left w:w="0" w:type="dxa"/>
            <w:bottom w:w="0" w:type="dxa"/>
            <w:right w:w="0" w:type="dxa"/>
          </w:tblCellMar>
        </w:tblPrEx>
        <w:trPr>
          <w:trHeight w:val="320" w:hRule="atLeast"/>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tc>
        <w:tc>
          <w:tcPr>
            <w:tcW w:w="8325"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2"/>
              </w:rPr>
            </w:pPr>
            <w:r>
              <w:rPr>
                <w:rFonts w:ascii="宋体" w:cs="宋体"/>
                <w:color w:val="000000"/>
                <w:kern w:val="0"/>
                <w:sz w:val="22"/>
              </w:rPr>
              <w:t>5</w:t>
            </w:r>
            <w:r>
              <w:rPr>
                <w:rFonts w:hint="eastAsia" w:ascii="宋体" w:cs="宋体"/>
                <w:color w:val="000000"/>
                <w:kern w:val="0"/>
                <w:sz w:val="22"/>
              </w:rPr>
              <w:t>、能源动力（0858）07电气工程（电工理论方向）（复试名额余额1名）</w:t>
            </w:r>
          </w:p>
        </w:tc>
      </w:tr>
      <w:tr>
        <w:tblPrEx>
          <w:tblCellMar>
            <w:top w:w="0" w:type="dxa"/>
            <w:left w:w="0" w:type="dxa"/>
            <w:bottom w:w="0" w:type="dxa"/>
            <w:right w:w="0" w:type="dxa"/>
          </w:tblCellMar>
        </w:tblPrEx>
        <w:trPr>
          <w:trHeight w:val="2400" w:hRule="atLeast"/>
        </w:trPr>
        <w:tc>
          <w:tcPr>
            <w:tcW w:w="481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FF0000"/>
                <w:kern w:val="0"/>
                <w:sz w:val="22"/>
              </w:rPr>
            </w:pPr>
            <w:r>
              <w:rPr>
                <w:rFonts w:hint="eastAsia" w:ascii="宋体" w:cs="宋体"/>
                <w:color w:val="000000"/>
                <w:kern w:val="0"/>
                <w:sz w:val="22"/>
              </w:rPr>
              <w:t>请考生根据以上“可供申请调整的研究方向”</w:t>
            </w:r>
            <w:r>
              <w:rPr>
                <w:rFonts w:hint="eastAsia" w:ascii="宋体" w:cs="宋体"/>
                <w:b/>
                <w:bCs/>
                <w:color w:val="000000"/>
                <w:kern w:val="0"/>
                <w:sz w:val="22"/>
              </w:rPr>
              <w:t>选择一个填报。</w:t>
            </w:r>
          </w:p>
        </w:tc>
        <w:tc>
          <w:tcPr>
            <w:tcW w:w="45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cs="宋体"/>
                <w:color w:val="000000"/>
                <w:sz w:val="22"/>
              </w:rPr>
            </w:pPr>
          </w:p>
        </w:tc>
      </w:tr>
      <w:tr>
        <w:tblPrEx>
          <w:tblCellMar>
            <w:top w:w="0" w:type="dxa"/>
            <w:left w:w="0" w:type="dxa"/>
            <w:bottom w:w="0" w:type="dxa"/>
            <w:right w:w="0" w:type="dxa"/>
          </w:tblCellMar>
        </w:tblPrEx>
        <w:trPr>
          <w:trHeight w:val="1680" w:hRule="atLeast"/>
        </w:trPr>
        <w:tc>
          <w:tcPr>
            <w:tcW w:w="9405" w:type="dxa"/>
            <w:gridSpan w:val="1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cs="宋体"/>
                <w:color w:val="000000"/>
                <w:sz w:val="22"/>
              </w:rPr>
            </w:pPr>
            <w:r>
              <w:rPr>
                <w:rFonts w:hint="eastAsia" w:ascii="宋体" w:cs="宋体"/>
                <w:color w:val="000000"/>
                <w:kern w:val="0"/>
                <w:sz w:val="22"/>
              </w:rPr>
              <w:t xml:space="preserve">    本人已知晓电气工程学院研究生录取程序，并了解上述志愿选项中的相关情况，经慎重考虑，申请上述志愿。                                                                                                                                          </w:t>
            </w:r>
            <w:r>
              <w:rPr>
                <w:rFonts w:hint="eastAsia" w:ascii="宋体" w:cs="宋体"/>
                <w:color w:val="000000"/>
                <w:kern w:val="0"/>
                <w:sz w:val="22"/>
              </w:rPr>
              <w:br w:type="textWrapping"/>
            </w:r>
            <w:r>
              <w:rPr>
                <w:rFonts w:hint="eastAsia" w:ascii="宋体" w:cs="宋体"/>
                <w:color w:val="000000"/>
                <w:kern w:val="0"/>
                <w:sz w:val="22"/>
              </w:rPr>
              <w:t xml:space="preserve">                                         申请人               2021年   月   日</w:t>
            </w:r>
          </w:p>
        </w:tc>
      </w:tr>
    </w:tbl>
    <w:p>
      <w:pPr>
        <w:widowControl/>
        <w:jc w:val="left"/>
        <w:rPr>
          <w:rFonts w:ascii="宋体" w:cs="宋体"/>
          <w:b/>
          <w:color w:val="040404"/>
          <w:kern w:val="0"/>
          <w:szCs w:val="21"/>
        </w:rPr>
      </w:pPr>
    </w:p>
    <w:p>
      <w:pPr>
        <w:widowControl/>
        <w:jc w:val="left"/>
        <w:rPr>
          <w:rFonts w:ascii="宋体" w:cs="宋体"/>
          <w:b/>
          <w:color w:val="040404"/>
          <w:kern w:val="0"/>
          <w:szCs w:val="21"/>
        </w:rPr>
      </w:pPr>
      <w:r>
        <w:rPr>
          <w:rFonts w:hint="eastAsia" w:ascii="宋体" w:cs="宋体"/>
          <w:b/>
          <w:color w:val="040404"/>
          <w:kern w:val="0"/>
          <w:szCs w:val="21"/>
        </w:rPr>
        <w:t>请以PDF版提交本申请表。</w:t>
      </w:r>
      <w:r>
        <w:rPr>
          <w:rFonts w:hint="eastAsia" w:ascii="Times New Roman" w:hAnsi="Times New Roman" w:eastAsia="微软雅黑" w:cs="Times New Roman"/>
          <w:sz w:val="18"/>
          <w:szCs w:val="18"/>
        </w:rPr>
        <w:t>文档命名形式：申请人姓名-研究方向调整申请表</w:t>
      </w:r>
      <w:r>
        <w:rPr>
          <w:rFonts w:ascii="Times New Roman" w:hAnsi="Times New Roman" w:eastAsia="微软雅黑" w:cs="Times New Roman"/>
          <w:sz w:val="18"/>
          <w:szCs w:val="18"/>
        </w:rPr>
        <w:t>。</w:t>
      </w:r>
    </w:p>
    <w:p>
      <w:pPr>
        <w:widowControl/>
        <w:jc w:val="left"/>
        <w:rPr>
          <w:rFonts w:ascii="宋体" w:cs="宋体"/>
          <w:b/>
          <w:color w:val="040404"/>
          <w:kern w:val="0"/>
          <w:szCs w:val="21"/>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7C681F"/>
    <w:rsid w:val="00024FBC"/>
    <w:rsid w:val="000A359C"/>
    <w:rsid w:val="000E4B5F"/>
    <w:rsid w:val="001227DF"/>
    <w:rsid w:val="00155D3E"/>
    <w:rsid w:val="001C3E60"/>
    <w:rsid w:val="002F1255"/>
    <w:rsid w:val="0038187F"/>
    <w:rsid w:val="00394245"/>
    <w:rsid w:val="003B63F8"/>
    <w:rsid w:val="00496874"/>
    <w:rsid w:val="004F4598"/>
    <w:rsid w:val="005526F6"/>
    <w:rsid w:val="006C5D61"/>
    <w:rsid w:val="00784D1F"/>
    <w:rsid w:val="007C681F"/>
    <w:rsid w:val="007D6744"/>
    <w:rsid w:val="007D7362"/>
    <w:rsid w:val="00815360"/>
    <w:rsid w:val="00835326"/>
    <w:rsid w:val="00843185"/>
    <w:rsid w:val="008965EB"/>
    <w:rsid w:val="00993FE1"/>
    <w:rsid w:val="009C4997"/>
    <w:rsid w:val="009C6545"/>
    <w:rsid w:val="009D3B0A"/>
    <w:rsid w:val="009D52B3"/>
    <w:rsid w:val="00AB3718"/>
    <w:rsid w:val="00B6262D"/>
    <w:rsid w:val="00C01025"/>
    <w:rsid w:val="00C728E6"/>
    <w:rsid w:val="00CC43B4"/>
    <w:rsid w:val="00D93B89"/>
    <w:rsid w:val="00DA6327"/>
    <w:rsid w:val="00DB2589"/>
    <w:rsid w:val="00E138BD"/>
    <w:rsid w:val="00E309E9"/>
    <w:rsid w:val="00E34767"/>
    <w:rsid w:val="00E4089A"/>
    <w:rsid w:val="00EC71BA"/>
    <w:rsid w:val="00F13CBD"/>
    <w:rsid w:val="00F14A67"/>
    <w:rsid w:val="00F150F2"/>
    <w:rsid w:val="00F96F64"/>
    <w:rsid w:val="00FE5C05"/>
    <w:rsid w:val="03C018D8"/>
    <w:rsid w:val="046D0486"/>
    <w:rsid w:val="08EA3429"/>
    <w:rsid w:val="0F4302FD"/>
    <w:rsid w:val="16711A7A"/>
    <w:rsid w:val="179137F9"/>
    <w:rsid w:val="1DDC095A"/>
    <w:rsid w:val="1E3851AD"/>
    <w:rsid w:val="227C4B1E"/>
    <w:rsid w:val="285A5047"/>
    <w:rsid w:val="2FEF53BB"/>
    <w:rsid w:val="31D6228D"/>
    <w:rsid w:val="32EC0F36"/>
    <w:rsid w:val="4006272A"/>
    <w:rsid w:val="442B6530"/>
    <w:rsid w:val="4CAE3AF6"/>
    <w:rsid w:val="4CF17822"/>
    <w:rsid w:val="4E5747D3"/>
    <w:rsid w:val="4E7F0AF2"/>
    <w:rsid w:val="52D72DD2"/>
    <w:rsid w:val="5CD04A1A"/>
    <w:rsid w:val="63C14462"/>
    <w:rsid w:val="6FE42E2A"/>
    <w:rsid w:val="772F09A1"/>
    <w:rsid w:val="7D1F1A30"/>
    <w:rsid w:val="7E64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qFormat/>
    <w:uiPriority w:val="0"/>
    <w:pPr>
      <w:ind w:left="25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qFormat/>
    <w:uiPriority w:val="0"/>
    <w:rPr>
      <w:b/>
      <w:bCs/>
    </w:rPr>
  </w:style>
  <w:style w:type="character" w:styleId="14">
    <w:name w:val="Strong"/>
    <w:basedOn w:val="13"/>
    <w:qFormat/>
    <w:uiPriority w:val="0"/>
    <w:rPr>
      <w:b/>
    </w:rPr>
  </w:style>
  <w:style w:type="character" w:styleId="15">
    <w:name w:val="Hyperlink"/>
    <w:basedOn w:val="13"/>
    <w:qFormat/>
    <w:uiPriority w:val="0"/>
    <w:rPr>
      <w:color w:val="000000"/>
      <w:u w:val="none"/>
    </w:rPr>
  </w:style>
  <w:style w:type="character" w:styleId="16">
    <w:name w:val="annotation reference"/>
    <w:basedOn w:val="13"/>
    <w:qFormat/>
    <w:uiPriority w:val="0"/>
    <w:rPr>
      <w:sz w:val="21"/>
      <w:szCs w:val="21"/>
    </w:rPr>
  </w:style>
  <w:style w:type="paragraph" w:styleId="17">
    <w:name w:val="List Paragraph"/>
    <w:basedOn w:val="1"/>
    <w:qFormat/>
    <w:uiPriority w:val="0"/>
    <w:pPr>
      <w:ind w:firstLine="200" w:firstLineChars="200"/>
    </w:pPr>
  </w:style>
  <w:style w:type="character" w:customStyle="1" w:styleId="18">
    <w:name w:val="font31"/>
    <w:basedOn w:val="13"/>
    <w:qFormat/>
    <w:uiPriority w:val="0"/>
    <w:rPr>
      <w:rFonts w:ascii="Times New Roman" w:hAnsi="Times New Roman" w:cs="Times New Roman"/>
      <w:color w:val="000000"/>
      <w:sz w:val="20"/>
      <w:szCs w:val="20"/>
      <w:u w:val="none"/>
    </w:rPr>
  </w:style>
  <w:style w:type="character" w:customStyle="1" w:styleId="19">
    <w:name w:val="font11"/>
    <w:basedOn w:val="13"/>
    <w:qFormat/>
    <w:uiPriority w:val="0"/>
    <w:rPr>
      <w:rFonts w:ascii="宋体" w:eastAsia="宋体" w:cs="宋体"/>
      <w:color w:val="000000"/>
      <w:sz w:val="20"/>
      <w:szCs w:val="20"/>
      <w:u w:val="none"/>
    </w:rPr>
  </w:style>
  <w:style w:type="character" w:customStyle="1" w:styleId="20">
    <w:name w:val="font41"/>
    <w:basedOn w:val="13"/>
    <w:qFormat/>
    <w:uiPriority w:val="0"/>
    <w:rPr>
      <w:rFonts w:ascii="宋体" w:eastAsia="宋体" w:cs="宋体"/>
      <w:color w:val="000000"/>
      <w:sz w:val="20"/>
      <w:szCs w:val="20"/>
      <w:u w:val="none"/>
    </w:rPr>
  </w:style>
  <w:style w:type="character" w:customStyle="1" w:styleId="21">
    <w:name w:val="font21"/>
    <w:basedOn w:val="13"/>
    <w:qFormat/>
    <w:uiPriority w:val="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648</Words>
  <Characters>3698</Characters>
  <Lines>30</Lines>
  <Paragraphs>8</Paragraphs>
  <TotalTime>19</TotalTime>
  <ScaleCrop>false</ScaleCrop>
  <LinksUpToDate>false</LinksUpToDate>
  <CharactersWithSpaces>4338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2021-03-15T11:11:00Z</dcterms:created>
  <dc:creator>ZYK42TLXXA</dc:creator>
  <cp:lastModifiedBy>金若君</cp:lastModifiedBy>
  <cp:lastPrinted>2020-05-01T05:20:00Z</cp:lastPrinted>
  <dcterms:modified xsi:type="dcterms:W3CDTF">2021-03-18T07:29:26Z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